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0DA4A"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20" w:num="1"/>
          <w:docGrid w:linePitch="360" w:charSpace="0"/>
        </w:sectPr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396240</wp:posOffset>
                </wp:positionV>
                <wp:extent cx="5386070" cy="8107045"/>
                <wp:effectExtent l="15875" t="15875" r="20955" b="17780"/>
                <wp:wrapNone/>
                <wp:docPr id="1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070" cy="81070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</a:ln>
                      </wps:spPr>
                      <wps:txbx>
                        <w:txbxContent>
                          <w:p w14:paraId="50A6ED0C">
                            <w:pPr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drawing>
                                <wp:inline distT="0" distB="0" distL="0" distR="0">
                                  <wp:extent cx="1813560" cy="1371600"/>
                                  <wp:effectExtent l="0" t="0" r="0" b="0"/>
                                  <wp:docPr id="11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356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5C1AD2">
                            <w:pPr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0899756F">
                            <w:pPr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综合设计</w:t>
                            </w:r>
                            <w:r>
                              <w:rPr>
                                <w:rFonts w:hint="eastAsia" w:ascii="Times" w:hAnsi="Times"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hint="eastAsia" w:ascii="Times" w:hAnsi="Times" w:eastAsia="黑体"/>
                                <w:b/>
                                <w:sz w:val="56"/>
                                <w:szCs w:val="72"/>
                              </w:rPr>
                              <w:t>中期</w:t>
                            </w: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30C646C9">
                            <w:pPr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课程名称：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</w:rPr>
                              <w:t>进阶式挑战性综合项目 I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I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</w:rPr>
                              <w:t>I（数字动漫）</w:t>
                            </w:r>
                          </w:p>
                          <w:p w14:paraId="1130FA32">
                            <w:pPr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课题名称：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</w:rPr>
                              <w:t>运输车辆调度优化与仿真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B87A0F1">
                            <w:pPr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李贞昊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C56069C">
                            <w:pPr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所在系别：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软件工程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243C3C4">
                            <w:pPr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执行学期：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第五学期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F431AAB">
                            <w:pPr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Style w:val="12"/>
                              <w:tblW w:w="7645" w:type="dxa"/>
                              <w:tblInd w:w="28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0"/>
                              <w:gridCol w:w="3260"/>
                              <w:gridCol w:w="2835"/>
                            </w:tblGrid>
                            <w:tr w14:paraId="14242C4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9406D1E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CF4EF86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37C9537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14:paraId="098D8D5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89F4C17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1（组长）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CD334A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2024090904002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3C6E2CE5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eastAsia" w:ascii="Times" w:hAnsi="Times" w:eastAsia="宋体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胡杨</w:t>
                                  </w:r>
                                </w:p>
                              </w:tc>
                            </w:tr>
                            <w:tr w14:paraId="112C59D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9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27AEF8F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33329E1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2024090910005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966E51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eastAsia" w:ascii="Times" w:hAnsi="Times" w:eastAsia="宋体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丁宁</w:t>
                                  </w:r>
                                </w:p>
                              </w:tc>
                            </w:tr>
                            <w:tr w14:paraId="1047C20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006A3F7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24CB190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2024090906027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02B3DF7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胡天琦</w:t>
                                  </w:r>
                                </w:p>
                              </w:tc>
                            </w:tr>
                            <w:tr w14:paraId="3DBF2F8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318B0B4E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D93D46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2024090910008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398E80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华观中</w:t>
                                  </w:r>
                                </w:p>
                              </w:tc>
                            </w:tr>
                            <w:tr w14:paraId="12307B7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0A2CDA7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17B68B6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2024090910020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DEAD8CA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万飞翔</w:t>
                                  </w:r>
                                </w:p>
                              </w:tc>
                            </w:tr>
                            <w:tr w14:paraId="68C71F6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9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B71A2E5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ACBDA3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2024090906006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A99866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eastAsia" w:ascii="Times" w:hAnsi="Times" w:eastAsia="宋体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李韦成</w:t>
                                  </w:r>
                                </w:p>
                              </w:tc>
                            </w:tr>
                          </w:tbl>
                          <w:p w14:paraId="36141F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.25pt;margin-top:31.2pt;height:638.35pt;width:424.1pt;z-index:-251657216;mso-width-relative:page;mso-height-relative:page;" filled="f" stroked="t" coordsize="21600,21600" o:gfxdata="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LVhMsNoAAAALAQAADwAAAAAAAAABACAAAAAiAAAAZHJz&#10;L2Rvd25yZXYueG1sUEsBAhQAFAAAAAgAh07iQGq9egQ7AgAAVAQAAA4AAAAAAAAAAQAgAAAAKQEA&#10;AGRycy9lMm9Eb2MueG1sUEsFBgAAAAAGAAYAWQEAANYFAAAAAA==&#10;">
                <v:fill on="f" focussize="0,0"/>
                <v:stroke weight="2.5pt" color="#3471B0" miterlimit="8" joinstyle="miter"/>
                <v:imagedata o:title=""/>
                <o:lock v:ext="edit" aspectratio="f"/>
                <v:textbox>
                  <w:txbxContent>
                    <w:p w14:paraId="50A6ED0C">
                      <w:pPr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/>
                        </w:rPr>
                        <w:drawing>
                          <wp:inline distT="0" distB="0" distL="0" distR="0">
                            <wp:extent cx="1813560" cy="1371600"/>
                            <wp:effectExtent l="0" t="0" r="0" b="0"/>
                            <wp:docPr id="11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356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5C1AD2">
                      <w:pPr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0899756F">
                      <w:pPr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综合设计</w:t>
                      </w:r>
                      <w:r>
                        <w:rPr>
                          <w:rFonts w:hint="eastAsia" w:ascii="Times" w:hAnsi="Times" w:eastAsia="黑体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hint="eastAsia" w:ascii="Times" w:hAnsi="Times" w:eastAsia="黑体"/>
                          <w:b/>
                          <w:sz w:val="56"/>
                          <w:szCs w:val="72"/>
                        </w:rPr>
                        <w:t>中期</w:t>
                      </w: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30C646C9">
                      <w:pPr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课程名称：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</w:rPr>
                        <w:t>进阶式挑战性综合项目 I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I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</w:rPr>
                        <w:t>I（数字动漫）</w:t>
                      </w:r>
                    </w:p>
                    <w:p w14:paraId="1130FA32">
                      <w:pPr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课题名称：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</w:rPr>
                        <w:t>运输车辆调度优化与仿真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0B87A0F1">
                      <w:pPr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指导教师：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李贞昊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0C56069C">
                      <w:pPr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所在系别：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软件工程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2243C3C4">
                      <w:pPr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执行学期：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第五学期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2F431AAB">
                      <w:pPr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学生信息：</w:t>
                      </w:r>
                    </w:p>
                    <w:tbl>
                      <w:tblPr>
                        <w:tblStyle w:val="12"/>
                        <w:tblW w:w="7645" w:type="dxa"/>
                        <w:tblInd w:w="28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0"/>
                        <w:gridCol w:w="3260"/>
                        <w:gridCol w:w="2835"/>
                      </w:tblGrid>
                      <w:tr w14:paraId="14242C4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8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9406D1E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CF4EF86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37C9537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14:paraId="098D8D5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1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89F4C17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1（组长）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CD334A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2024090904002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3C6E2CE5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hint="eastAsia" w:ascii="Times" w:hAnsi="Times" w:eastAsia="宋体" w:cs="宋体"/>
                                <w:color w:val="000000"/>
                                <w:kern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胡杨</w:t>
                            </w:r>
                          </w:p>
                        </w:tc>
                      </w:tr>
                      <w:tr w14:paraId="112C59D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9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27AEF8F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33329E1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2024090910005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966E51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hint="eastAsia" w:ascii="Times" w:hAnsi="Times" w:eastAsia="宋体" w:cs="宋体"/>
                                <w:color w:val="000000"/>
                                <w:kern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丁宁</w:t>
                            </w:r>
                          </w:p>
                        </w:tc>
                      </w:tr>
                      <w:tr w14:paraId="1047C20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3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006A3F7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424CB190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2024090906027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02B3DF7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胡天琦</w:t>
                            </w:r>
                          </w:p>
                        </w:tc>
                      </w:tr>
                      <w:tr w14:paraId="3DBF2F8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1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318B0B4E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D93D46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2024090910008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398E80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华观中</w:t>
                            </w:r>
                          </w:p>
                        </w:tc>
                      </w:tr>
                      <w:tr w14:paraId="12307B7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63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0A2CDA7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17B68B6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2024090910020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DEAD8CA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万飞翔</w:t>
                            </w:r>
                          </w:p>
                        </w:tc>
                      </w:tr>
                      <w:tr w14:paraId="68C71F6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9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4B71A2E5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ACBDA3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2024090906006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A99866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hint="eastAsia" w:ascii="Times" w:hAnsi="Times" w:eastAsia="宋体" w:cs="宋体"/>
                                <w:color w:val="000000"/>
                                <w:kern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李韦成</w:t>
                            </w:r>
                          </w:p>
                        </w:tc>
                      </w:tr>
                    </w:tbl>
                    <w:p w14:paraId="36141F6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7B61EBC">
      <w:pPr>
        <w:spacing w:before="240" w:after="300"/>
        <w:jc w:val="center"/>
      </w:pPr>
      <w:r>
        <w:rPr>
          <w:rFonts w:ascii="Times New Roman" w:hAnsi="Times New Roman" w:eastAsia="黑体"/>
          <w:b/>
          <w:bCs/>
          <w:sz w:val="32"/>
          <w:szCs w:val="32"/>
        </w:rPr>
        <w:t>目  录</w:t>
      </w:r>
    </w:p>
    <w:sdt>
      <w:sdtPr>
        <w:alias w:val="目录"/>
        <w:id w:val="147481316"/>
      </w:sdtPr>
      <w:sdtContent>
        <w:p w14:paraId="07E6521F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"_Toc1"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第一章  综合设计的进展情况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_Toc1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C354E92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"_Toc2"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1.1 针对工程问题的方案设计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_Toc2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C344F2D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"_Toc3"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1.2 针对工程问题的推理分析与具体实现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_Toc3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679901F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"_Toc4"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1.2.1 司机对象与概率化行为状态机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_Toc4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026E422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"_Toc5"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1.2.2 运输过程随机事件引擎与统一暂停机制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_Toc5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D062C59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"_Toc6"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1.2.3 全局多目标优化机制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_Toc6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0AE4A1B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"_Toc7"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1.2.4 优化目标的实时统计与匹配质量评价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_Toc7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2C1250F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"_Toc8"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1.2.5 实验沙箱与确定性复现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_Toc8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A283579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"_Toc9"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1.3 知识技能学习情况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_Toc9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6FFCF69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"_Toc10"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第二章  存在问题与解决方案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_Toc10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96CDCAA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"_Toc11"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2.1 存在的主要问题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_Toc11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A28F320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"_Toc12"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2.2 解决方案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_Toc12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8CF20D7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"_Toc13"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第三章  前期任务完成度与后续实施计划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_Toc13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02CF60D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"_Toc14"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3.1 任务书要求完成度对照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_Toc14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7539D41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"_Toc15"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3.2 后续实施计划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_Toc15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713E7B56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"_Toc16"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3.3 团队分工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_Toc16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4B804D8">
          <w:pPr>
            <w:pStyle w:val="10"/>
            <w:widowControl w:val="0"/>
            <w:tabs>
              <w:tab w:val="left" w:pos="840"/>
              <w:tab w:val="right" w:leader="dot" w:pos="8494"/>
            </w:tabs>
            <w:spacing w:line="400" w:lineRule="exact"/>
            <w:jc w:val="both"/>
          </w:pP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"_Toc17" 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>参考文献</w: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instrText xml:space="preserve">PAGEREF _Toc17 \h</w:instrText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31FDF2A">
          <w:r>
            <w:fldChar w:fldCharType="end"/>
          </w:r>
        </w:p>
      </w:sdtContent>
    </w:sdt>
    <w:p w14:paraId="363764CE">
      <w:pPr>
        <w:sectPr>
          <w:headerReference r:id="rId5" w:type="default"/>
          <w:footerReference r:id="rId6" w:type="default"/>
          <w:pgSz w:w="11906" w:h="16838"/>
          <w:pgMar w:top="1440" w:right="1800" w:bottom="1440" w:left="1800" w:header="708" w:footer="708" w:gutter="0"/>
          <w:pgNumType w:fmt="lowerRoman" w:start="1"/>
          <w:cols w:space="720" w:num="1"/>
          <w:docGrid w:linePitch="360" w:charSpace="0"/>
        </w:sectPr>
      </w:pPr>
    </w:p>
    <w:p w14:paraId="6818AB52">
      <w:pPr>
        <w:pStyle w:val="2"/>
        <w:pageBreakBefore/>
        <w:spacing w:before="240" w:after="360"/>
        <w:jc w:val="center"/>
      </w:pPr>
      <w:bookmarkStart w:id="0" w:name="_Toc1"/>
      <w:r>
        <w:rPr>
          <w:rFonts w:ascii="Times New Roman" w:hAnsi="Times New Roman" w:eastAsia="黑体"/>
          <w:b/>
          <w:bCs/>
          <w:color w:val="000000"/>
          <w:sz w:val="32"/>
          <w:szCs w:val="32"/>
        </w:rPr>
        <w:t>第一章  综合设计的进展情况</w:t>
      </w:r>
      <w:bookmarkEnd w:id="0"/>
    </w:p>
    <w:p w14:paraId="02205FD4">
      <w:pPr>
        <w:pStyle w:val="3"/>
        <w:spacing w:before="320" w:after="200"/>
      </w:pPr>
      <w:bookmarkStart w:id="1" w:name="_Toc2"/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1.1 针对工程问题的方案设计</w:t>
      </w:r>
      <w:bookmarkEnd w:id="1"/>
    </w:p>
    <w:p w14:paraId="0392CABD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本课题承接综合设计 II 阶段的成果——基于 Go + Gin + GORM 的调度后端、五维代价模型（A 直接成本、B 时效成本、C 效率与公平成本、D 平台资源成本、E 风险成本，经 F 综合加权合成）、模拟退火全局调度算法、高德地图路径规划驱动的物理仿真引擎，以及 Vue3 + ECharts 的可视化大屏。针对任务书提出的“优化仿真参数使其更贴近真实场景、实现多目标全局优化算法、实时统计优化目标”三项主要任务，本阶段我们完成了系统的总体架构重构，将原有“单一仿真进程”升级为“实验沙箱 + 受控实验”的四层架构（图 1-1）。</w:t>
      </w:r>
    </w:p>
    <w:p w14:paraId="28FECC52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四层职责划分如下。</w:t>
      </w:r>
      <w:r>
        <w:rPr>
          <w:rFonts w:ascii="Times New Roman" w:hAnsi="Times New Roman" w:eastAsia="宋体"/>
          <w:b/>
          <w:bCs/>
          <w:sz w:val="24"/>
          <w:szCs w:val="24"/>
        </w:rPr>
        <w:t>展示层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：Vue3 + Element Plus + ECharts + 高德地图，包含沙箱管理、实验配置（表单与 TOML 双向编辑）、地图大屏（可拉入数据覆盖层）、任务管理、实验结果与实验对比页面；</w:t>
      </w:r>
      <w:r>
        <w:rPr>
          <w:rFonts w:ascii="Times New Roman" w:hAnsi="Times New Roman" w:eastAsia="宋体"/>
          <w:b/>
          <w:bCs/>
          <w:sz w:val="24"/>
          <w:szCs w:val="24"/>
        </w:rPr>
        <w:t>服务层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：Go + Gin，REST API 与 WebSocket 双通道，登录鉴权中间件保护全部业务路由；</w:t>
      </w:r>
      <w:r>
        <w:rPr>
          <w:rFonts w:ascii="Times New Roman" w:hAnsi="Times New Roman" w:eastAsia="宋体"/>
          <w:b/>
          <w:bCs/>
          <w:sz w:val="24"/>
          <w:szCs w:val="24"/>
        </w:rPr>
        <w:t>仿真运行层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：ExperimentRuntime 以单实验串行、单线程确定性 tick 驱动，内含虚拟时钟、SA 调度、随机事件引擎、全局统计引擎与种子随机源；</w:t>
      </w:r>
      <w:r>
        <w:rPr>
          <w:rFonts w:ascii="Times New Roman" w:hAnsi="Times New Roman" w:eastAsia="宋体"/>
          <w:b/>
          <w:bCs/>
          <w:sz w:val="24"/>
          <w:szCs w:val="24"/>
        </w:rPr>
        <w:t>数据与生成层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：确定性数据生成器在仿真之外预生成订单流与事件脚本，MySQL 中沙箱元数据表与 9 张运行表按 experiment_id 实现实验实例级数据隔离。</w:t>
      </w:r>
    </w:p>
    <w:p w14:paraId="3C9F5C2D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架构重构遵循三条设计原则。</w:t>
      </w:r>
      <w:r>
        <w:rPr>
          <w:rFonts w:ascii="Times New Roman" w:hAnsi="Times New Roman" w:eastAsia="宋体"/>
          <w:b/>
          <w:bCs/>
          <w:sz w:val="24"/>
          <w:szCs w:val="24"/>
        </w:rPr>
        <w:t>可复现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：一切随机性收敛到单一种子 RNG，同种子同参数必得到逐位一致的结果；</w:t>
      </w:r>
      <w:r>
        <w:rPr>
          <w:rFonts w:ascii="Times New Roman" w:hAnsi="Times New Roman" w:eastAsia="宋体"/>
          <w:b/>
          <w:bCs/>
          <w:sz w:val="24"/>
          <w:szCs w:val="24"/>
        </w:rPr>
        <w:t>可观测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：八维指标体系（M/U/T/A/C/R/F/G）对调度质量、运力效率、时效、算法性能、成本、可靠性、公平性、碳排做实时统计；</w:t>
      </w:r>
      <w:r>
        <w:rPr>
          <w:rFonts w:ascii="Times New Roman" w:hAnsi="Times New Roman" w:eastAsia="宋体"/>
          <w:b/>
          <w:bCs/>
          <w:sz w:val="24"/>
          <w:szCs w:val="24"/>
        </w:rPr>
        <w:t>可扩展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：事件概率、司机行为参数、经济与交通环境全部进入配置或双层 TOML，新增事件类型不需改动调度与统计代码。</w:t>
      </w:r>
    </w:p>
    <w:p w14:paraId="29AEDC85">
      <w:pPr>
        <w:spacing w:before="160" w:after="60"/>
        <w:jc w:val="center"/>
      </w:pPr>
      <w:r>
        <w:drawing>
          <wp:inline distT="0" distB="0" distL="0" distR="0">
            <wp:extent cx="5143500" cy="31527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D148">
      <w:pPr>
        <w:spacing w:after="24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图 1-1  系统总体架构（四层）</w:t>
      </w:r>
    </w:p>
    <w:p w14:paraId="21E0FFC1">
      <w:pPr>
        <w:pStyle w:val="3"/>
        <w:spacing w:before="320" w:after="200"/>
      </w:pPr>
      <w:bookmarkStart w:id="2" w:name="_Toc3"/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1.2 针对工程问题的推理分析与具体实现</w:t>
      </w:r>
      <w:bookmarkEnd w:id="2"/>
    </w:p>
    <w:p w14:paraId="773FE521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在明确总体架构后，本节按“司机行为真实化 → 运输过程随机事件 → 全局多目标优化 → 实时统计评价 → 实验可复现”的顺序，说明关键模块的推理过程与代码实现。</w:t>
      </w:r>
    </w:p>
    <w:p w14:paraId="7E970BC8">
      <w:pPr>
        <w:pStyle w:val="4"/>
        <w:spacing w:before="240" w:after="160"/>
      </w:pPr>
      <w:bookmarkStart w:id="3" w:name="_Toc4"/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1.2.1 司机对象与概率化行为状态机</w:t>
      </w:r>
      <w:bookmarkEnd w:id="3"/>
    </w:p>
    <w:p w14:paraId="59C59348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真实货运行业有两个经验事实：其一，司机对距离远、价格不划算的订单存在拒单行为，且驾驶经验越丰富拒单率与事故率越低；其二，法规要求连续驾驶 4 小时须休息不少于 20 分钟。据此，系统建立一车一司机的司机对象（driver 表：姓名、电话、驾驶证号、驾驶等级、疲劳累计、拒单计数、绑定车辆），驾驶等级（2～5 级）进入概率修正。</w:t>
      </w:r>
    </w:p>
    <w:p w14:paraId="1A078FE8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行为均以数学概率为基准：拒单按 p = 0.06 × 等级修正因子（等级从低到高对应 1.4→0.7）逐次判定，同一运单最多被拒 2 次，超过后强制接单，防止“订单永远无人接”的死循环；疲劳按连续驾驶小时数累计，达 4h 触发 20min 强制休息。拒单不是简单丢弃订单，而是一套完整回退链路：删除 Planned 任务 → 释放车辆预占载重 → 运单回退 Sleeping → 下一轮调度重新进入分配池 → 车辆状态由 Ready 回退为 Free。这一设计复用了既有的重派机制，使拒单事件对调度系统表现为“可消化的扰动”而非异常。</w:t>
      </w:r>
    </w:p>
    <w:p w14:paraId="7A6AAB33">
      <w:pPr>
        <w:spacing w:before="160" w:after="8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代码 1-1  司机拒单概率判定（random_event.go 节选）</w:t>
      </w:r>
    </w:p>
    <w:p w14:paraId="2E2D63CA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// 发车前判定：司机有概率拒绝接单（等级修正 + 同单上限防死循环）</w:t>
      </w:r>
    </w:p>
    <w:p w14:paraId="15F0930C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refuseCount, _ := repository.CountRefuseByShipment(shipment.Id)</w:t>
      </w:r>
    </w:p>
    <w:p w14:paraId="05689B2F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if refuseCount &gt;= int64(cfg.RefuseMaxPerShipment) {</w:t>
      </w:r>
    </w:p>
    <w:p w14:paraId="474E28B8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return false // 同一运单被拒超过上限后强制接单</w:t>
      </w:r>
    </w:p>
    <w:p w14:paraId="5878FEC0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}</w:t>
      </w:r>
    </w:p>
    <w:p w14:paraId="69811478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if rt.Draw() &gt;= cfg.DriverRefuseProb*levelFactorOf(cfg, driver.Level) {</w:t>
      </w:r>
    </w:p>
    <w:p w14:paraId="0F5F0B0A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return false // 未触发拒单</w:t>
      </w:r>
    </w:p>
    <w:p w14:paraId="5DFA7440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}</w:t>
      </w:r>
    </w:p>
    <w:p w14:paraId="04CDA47D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// 触发拒单：删除 Planned 任务、释放车辆预占载重、运单回退 Sleeping 等待重派</w:t>
      </w:r>
    </w:p>
    <w:p w14:paraId="753CE983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指标联动方面，拒单拉长订单响应长尾（T2 P95）、降低一次接受率（M 系），休息降低在线运力（U3）——司机行为由此成为被观测、被统计的一等公民，而非脚本化的背景噪声。</w:t>
      </w:r>
    </w:p>
    <w:p w14:paraId="682CE590">
      <w:pPr>
        <w:pStyle w:val="4"/>
        <w:spacing w:before="240" w:after="160"/>
      </w:pPr>
      <w:bookmarkStart w:id="4" w:name="_Toc5"/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1.2.2 运输过程随机事件引擎与统一暂停机制</w:t>
      </w:r>
      <w:bookmarkEnd w:id="4"/>
    </w:p>
    <w:p w14:paraId="1E866A65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在司机行为之外，运输过程引入两类随机事件：极端天气（p=0.0005/tick，暂停 0.5～2h，模拟暴雨封路与限行）与车祸（p=0.0002/tick × 等级因子，车辆进入新增的“维修中”状态 1～6h，在途任务挂起）。至此系统共有四类随机事件（拒单、疲劳休息、极端天气、车祸），概率与时长区间全部可配置。</w:t>
      </w:r>
    </w:p>
    <w:p w14:paraId="3A5753B7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设计上的关键取舍是</w:t>
      </w:r>
      <w:r>
        <w:rPr>
          <w:rFonts w:ascii="Times New Roman" w:hAnsi="Times New Roman" w:eastAsia="宋体"/>
          <w:b/>
          <w:bCs/>
          <w:sz w:val="24"/>
          <w:szCs w:val="24"/>
        </w:rPr>
        <w:t>统一暂停机制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：三类“时间冻结”（疲劳休息/天气/维修）共用一个检查点，moveVehicle 每 tick 开头以虚拟时间比较 pause_until，未到期则本 tick 位置冻结、速度为 0，到期自动恢复。这把“事件的影响”统一抽象为“可用运力的时间窗收缩”，对调度器与统计引擎完全透明，也使暂停行为可在前端地图上被直观验证（车辆冻结、速度 0.00）。</w:t>
      </w:r>
    </w:p>
    <w:p w14:paraId="5194DA7A">
      <w:pPr>
        <w:spacing w:before="160" w:after="8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代码 1-2  统一暂停判定（vehicle.go 节选）</w:t>
      </w:r>
    </w:p>
    <w:p w14:paraId="316BB508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// moveVehicle 开头：随机事件暂停窗口内（休息/极端天气）不推进，虚拟时间比较</w:t>
      </w:r>
    </w:p>
    <w:p w14:paraId="385CEC17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now := rt.Clock.Now()</w:t>
      </w:r>
    </w:p>
    <w:p w14:paraId="5FD138A1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if isVehiclePaused(latestVehicle, now) {</w:t>
      </w:r>
    </w:p>
    <w:p w14:paraId="37CC8FAA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return // pause_until 未到期：车辆位置冻结、速度为 0</w:t>
      </w:r>
    </w:p>
    <w:p w14:paraId="03EAFE4A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}</w:t>
      </w:r>
    </w:p>
    <w:p w14:paraId="75C4BDD8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// 天气/车祸事件由预生成脚本驱动（consumeDueEvents），此处不再现场摇号</w:t>
      </w:r>
    </w:p>
    <w:p w14:paraId="5E20D464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每次事件写入 random_event 表（类型、车辆、司机、运单、严重度、时长、描述），前端事件流按车牌实时展示（类型着色、未解决空心），并进入 R 系可靠性指标：MTBF（平均无故障时间）、MTTR（平均修复时长）与可用性 = 1 − 停机时长 / (车队规模 × 观测窗口)，观测窗口为实验生命周期（虚拟时钟起点至今）。图 1-2 汇总了司机行为状态、运输随机事件状态机与统一暂停机制的全部参数。</w:t>
      </w:r>
    </w:p>
    <w:p w14:paraId="53B76BC5">
      <w:pPr>
        <w:spacing w:before="160" w:after="60"/>
        <w:jc w:val="center"/>
      </w:pPr>
      <w:r>
        <w:drawing>
          <wp:inline distT="0" distB="0" distL="0" distR="0">
            <wp:extent cx="5143500" cy="33242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219B">
      <w:pPr>
        <w:spacing w:after="24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图 1-2  司机行为状态与运输随机事件状态机（含概率参数）</w:t>
      </w:r>
    </w:p>
    <w:p w14:paraId="2959476F">
      <w:pPr>
        <w:pStyle w:val="4"/>
        <w:spacing w:before="240" w:after="160"/>
      </w:pPr>
      <w:bookmarkStart w:id="5" w:name="_Toc6"/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1.2.3 全局多目标优化机制</w:t>
      </w:r>
      <w:bookmarkEnd w:id="5"/>
    </w:p>
    <w:p w14:paraId="02E769CD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第一种多目标机制是承接 II 阶段的</w:t>
      </w:r>
      <w:r>
        <w:rPr>
          <w:rFonts w:ascii="Times New Roman" w:hAnsi="Times New Roman" w:eastAsia="宋体"/>
          <w:b/>
          <w:bCs/>
          <w:sz w:val="24"/>
          <w:szCs w:val="24"/>
        </w:rPr>
        <w:t>加权标量化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：将调度决策抽象为 Cost = λ1·A + λ2·B + λ3·C + λ4·D + λ5·E 的单一可排序分数，代价项与任务书五类优化目标一一对应：车辆总体等待时间（A 的等待项与 B 的货物加权等待）、空载里程（A 的空驶项与 C 的空驶率）、车辆利用率（C 的等待运输比与 D 的运力缺口惩罚）、总运输达成吨位（D 的运力结构惩罚与吞吐统计）、碳排放（G 系）。SA 算法以 Metropolis 准则接受劣解跳出局部最优，通过 Swap/Move 邻域扰动迭代搜索全局低成本指派。</w:t>
      </w:r>
    </w:p>
    <w:p w14:paraId="14A3D05F">
      <w:pPr>
        <w:spacing w:before="160" w:after="8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代码 1-3  模拟退火 Metropolis 接受准则（sa_scheduler.go 节选）</w:t>
      </w:r>
    </w:p>
    <w:p w14:paraId="2DB0FD63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// 邻域扰动 + Metropolis 接受准则：以概率接受劣解，跳出局部最优</w:t>
      </w:r>
    </w:p>
    <w:p w14:paraId="676AB7F4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_, nextAssigned := generateSANeighbor(rt, currentAssigned, len(vehicles))</w:t>
      </w:r>
    </w:p>
    <w:p w14:paraId="64F2E4A1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nextCost := evaluateStateCost(nextAssigned, shipments, vehicles, stats, ...)</w:t>
      </w:r>
    </w:p>
    <w:p w14:paraId="5A286ADE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if nextCost &lt; currentCost || math.Exp((currentCost-nextCost)/temp) &gt; rt.Draw() {</w:t>
      </w:r>
    </w:p>
    <w:p w14:paraId="4F56BC02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currentAssigned = nextAssigned</w:t>
      </w:r>
    </w:p>
    <w:p w14:paraId="0D661C3E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currentCost = nextCost</w:t>
      </w:r>
    </w:p>
    <w:p w14:paraId="5AAD2800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if currentCost &lt; bestCost {</w:t>
      </w:r>
    </w:p>
    <w:p w14:paraId="7D94FA1C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    copy(bestAssigned, currentAssigned)</w:t>
      </w:r>
    </w:p>
    <w:p w14:paraId="63D5B03D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    bestCost = currentCost</w:t>
      </w:r>
    </w:p>
    <w:p w14:paraId="5B1795B8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}</w:t>
      </w:r>
    </w:p>
    <w:p w14:paraId="01B31C64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}</w:t>
      </w:r>
    </w:p>
    <w:p w14:paraId="11C1DBEE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真实化方面，沙箱世界规则向系统注入经济环境：A 项追加货币化里程成本（油价 × 百公里油耗 + 每公里过路费 + 人力成本），使成本从抽象分数落到可解释的货币量纲；交通环境提供分时段速度系数（高峰降速），影响每 tick 推进的里程与疲劳累计，也为后续拥堵事件提供了机制雏形。</w:t>
      </w:r>
    </w:p>
    <w:p w14:paraId="04F958B1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碳排放方面，G1/G2 按车型排放因子（空驶/载重分列）乘累计里程计算总碳排与吨公里碳排强度。当前碳排以软约束形式进入实验参数（G2_carbon_max 上限），主要在结果层计量与呈现，</w:t>
      </w:r>
      <w:r>
        <w:rPr>
          <w:rFonts w:ascii="Times New Roman" w:hAnsi="Times New Roman" w:eastAsia="宋体"/>
          <w:b/>
          <w:bCs/>
          <w:sz w:val="24"/>
          <w:szCs w:val="24"/>
        </w:rPr>
        <w:t>约束式惩罚接入代价函数列入后续计划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（见 2.2 节）。</w:t>
      </w:r>
    </w:p>
    <w:p w14:paraId="5763BC1B">
      <w:pPr>
        <w:spacing w:before="160" w:after="8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代码 1-4  碳排放计算（stats.go 节选）</w:t>
      </w:r>
    </w:p>
    <w:p w14:paraId="5B5FE293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// G1/G2：按车型排放因子 × 空/重载里程累计总碳排，吨公里口径核算强度</w:t>
      </w:r>
    </w:p>
    <w:p w14:paraId="554A73F9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for _, v := range vehicles {</w:t>
      </w:r>
    </w:p>
    <w:p w14:paraId="429BD18D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fEmpty, fLoad := defaultEmissionFactors(v.Tybe)</w:t>
      </w:r>
    </w:p>
    <w:p w14:paraId="529ADFCD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totalCarbon += v.EmptyMileage*fEmpty + v.Distance*fLoad</w:t>
      </w:r>
    </w:p>
    <w:p w14:paraId="4300DCD6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}</w:t>
      </w:r>
    </w:p>
    <w:p w14:paraId="44F6937D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s.CarbonStats.CarbonPerTonKm = totalCarbon / s.TransportWorkStats.TotalTonDistance</w:t>
      </w:r>
    </w:p>
    <w:p w14:paraId="5B3BA9DF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第二种多目标机制是</w:t>
      </w:r>
      <w:r>
        <w:rPr>
          <w:rFonts w:ascii="Times New Roman" w:hAnsi="Times New Roman" w:eastAsia="宋体"/>
          <w:b/>
          <w:bCs/>
          <w:sz w:val="24"/>
          <w:szCs w:val="24"/>
        </w:rPr>
        <w:t>主目标/软约束分层框架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：不追求单一分数，而是将优化对象显式分层为 4 项主目标（C2 单位成本↓、U2 载重利用率↑、U4 空驶率↓、T2 响应 P95↓）与 2 项软约束（F1 负载基尼≤0.4、G2 吨公里碳排），实验结果页按此六项做主指标对比；配合同种子跨参数批次的对比实验（参数 TOML 分栏 Diff + 结果对比页），等价于对多目标权衡的受控敏感性实验（图 1-3）。帕累托类机制（ε-约束/NSGA-II）尚未实现，作为“优”档的增强项列入计划。</w:t>
      </w:r>
    </w:p>
    <w:p w14:paraId="283E4838">
      <w:pPr>
        <w:spacing w:before="160" w:after="60"/>
        <w:jc w:val="center"/>
      </w:pPr>
      <w:r>
        <w:drawing>
          <wp:inline distT="0" distB="0" distL="0" distR="0">
            <wp:extent cx="5143500" cy="29813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4B5E">
      <w:pPr>
        <w:spacing w:after="24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图 1-3  多目标优化对象与八维指标体系支撑关系</w:t>
      </w:r>
    </w:p>
    <w:p w14:paraId="0E216277">
      <w:pPr>
        <w:pStyle w:val="4"/>
        <w:spacing w:before="240" w:after="160"/>
      </w:pPr>
      <w:bookmarkStart w:id="6" w:name="_Toc7"/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1.2.4 优化目标的实时统计与匹配质量评价</w:t>
      </w:r>
      <w:bookmarkEnd w:id="6"/>
    </w:p>
    <w:p w14:paraId="388AE105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实时统计链路为：CalculateGlobalStats（每虚拟 tick 全量计算）→ BuildRealtimeDashboard（汇总为 RealtimeSummary）→ WebSocket /ws/stats 每 3 真实秒推送（前端 15s 轮询兜底）；每 6 虚拟 tick（默认 1 虚拟分钟）将十七项核心指标写入 metric_snapshot 表（按 experiment_id 隔离），支撑实验结束后的收敛曲线与分位数分析。任务书“实现对优化目标的实时统计”以此完成。前端层面，运行期指标以地图数据覆盖层呈现（运行健康、运力效率趋势、Top3 最值榜、车辆状态构成、调配效率五维雷达、最终优化指标值与随机事件流），实验结束后结果页按 M/U/T/A/C/R/G + 事件积压八组卡片呈现终态，分别如图 1-4、图 1-5 所示。</w:t>
      </w:r>
    </w:p>
    <w:p w14:paraId="5A00D329">
      <w:pPr>
        <w:spacing w:before="160" w:after="60"/>
        <w:jc w:val="center"/>
      </w:pPr>
      <w:r>
        <w:drawing>
          <wp:inline distT="0" distB="0" distL="0" distR="0">
            <wp:extent cx="5143500" cy="3257550"/>
            <wp:effectExtent l="0" t="0" r="0" b="0"/>
            <wp:docPr id="9001" name="图片 9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图片 9001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D38D">
      <w:pPr>
        <w:spacing w:after="24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 xml:space="preserve">图 1-4  系统主界面：地图大屏与运行期数据覆盖层</w:t>
      </w:r>
    </w:p>
    <w:p w14:paraId="5A00D32A">
      <w:pPr>
        <w:spacing w:before="160" w:after="60"/>
        <w:jc w:val="center"/>
      </w:pPr>
      <w:r>
        <w:drawing>
          <wp:inline distT="0" distB="0" distL="0" distR="0">
            <wp:extent cx="5143500" cy="3257550"/>
            <wp:effectExtent l="0" t="0" r="0" b="0"/>
            <wp:docPr id="9002" name="图片 9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图片 9002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D38E">
      <w:pPr>
        <w:spacing w:after="24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 xml:space="preserve">图 1-5  实验结果页：六项主目标卡片、SA 收敛曲线与八组终态指标</w:t>
      </w:r>
    </w:p>
    <w:p w14:paraId="4AD177C0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全局优化算法的质量不能只看成本曲线自说自话。我们为调度质量建立了基于</w:t>
      </w:r>
      <w:r>
        <w:rPr>
          <w:rFonts w:ascii="Times New Roman" w:hAnsi="Times New Roman" w:eastAsia="宋体"/>
          <w:b/>
          <w:bCs/>
          <w:sz w:val="24"/>
          <w:szCs w:val="24"/>
        </w:rPr>
        <w:t>条件最优参考答案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的评价体系：固定一批 SA 派单的其余指派不变，将某一运单改派给任一候选车后重新评估整批成本，取最低者为该单的条件最优车（ground truth）。相比全局精确枚举（20 辆车队组合爆炸），条件枚举复杂度仅 O(运单数 × 车辆数)，任意批次规模均可实时完成。据此统计 M1 精确率（选中恰为条件最优）、M2 召回率（分母含未派单运单）、M3 F1、M4 MRR（选中车排名倒数均值），并把每单 Top8 候选排名回填匹配日志供离线复盘（图 1-6）。</w:t>
      </w:r>
    </w:p>
    <w:p w14:paraId="29D4279B">
      <w:pPr>
        <w:spacing w:before="160" w:after="8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代码 1-5  条件最优参考答案评估（matching_quality.go 节选）</w:t>
      </w:r>
    </w:p>
    <w:p w14:paraId="5D81BE46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// 固定其余指派，逐单改派各候选车评估整批成本，取最低者为 ground truth</w:t>
      </w:r>
    </w:p>
    <w:p w14:paraId="7C213A5A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copy(variant, saIdx)</w:t>
      </w:r>
    </w:p>
    <w:p w14:paraId="74AEA552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for vi := range vehicles {</w:t>
      </w:r>
    </w:p>
    <w:p w14:paraId="39DFF661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variant[i] = vi</w:t>
      </w:r>
    </w:p>
    <w:p w14:paraId="7A6C912A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cands = append(cands, qualityCand{vi,</w:t>
      </w:r>
    </w:p>
    <w:p w14:paraId="744A6229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    evaluateStateCost(variant, shipments, vehicles, stats, ...)})</w:t>
      </w:r>
    </w:p>
    <w:p w14:paraId="5257C89A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}</w:t>
      </w:r>
    </w:p>
    <w:p w14:paraId="40D02BFE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sort.Slice(cands, func(a, b int) bool { return cands[a].cost &lt; cands[b].cost })</w:t>
      </w:r>
    </w:p>
    <w:p w14:paraId="6524EB16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// 排名首位即条件最优车；SA 实际选中车的位次进入 M1/M4 统计</w:t>
      </w:r>
    </w:p>
    <w:p w14:paraId="5B25B77A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在算法性能维度，同批次重放“贪心首可行”基线，C1 = (基线成本 − SA 成本)/基线成本 × 100%，直接量化 SA 相对朴素策略的改善幅度；A2 记录每批求解耗时（批数/均值/峰值）；A3 在小规模（≤4 单 ≤6 车）时做精确枚举 gap 估算。可靠性维度（R1-R3 及事件计数）已在 1.2.2 节说明。至此，调度质量的评价形成“在线指标实时可见 + 离线日志可复盘”的双层证据链。</w:t>
      </w:r>
    </w:p>
    <w:p w14:paraId="09BACAAC">
      <w:pPr>
        <w:spacing w:before="160" w:after="60"/>
        <w:jc w:val="center"/>
      </w:pPr>
      <w:r>
        <w:drawing>
          <wp:inline distT="0" distB="0" distL="0" distR="0">
            <wp:extent cx="5143500" cy="25431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6CD6">
      <w:pPr>
        <w:spacing w:after="24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图 1-6  基于条件最优参考答案的匹配质量评价闭环</w:t>
      </w:r>
    </w:p>
    <w:p w14:paraId="760FF9AD">
      <w:pPr>
        <w:pStyle w:val="4"/>
        <w:spacing w:before="240" w:after="160"/>
      </w:pPr>
      <w:bookmarkStart w:id="7" w:name="_Toc8"/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1.2.5 实验沙箱与确定性复现</w:t>
      </w:r>
      <w:bookmarkEnd w:id="7"/>
    </w:p>
    <w:p w14:paraId="2103D14E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仿真实验若不可复现，则一切“算法 A 优于算法 B”的结论都不成立。本阶段我们把“实验”本身作为设计对象，建立四级模型：</w:t>
      </w:r>
      <w:r>
        <w:rPr>
          <w:rFonts w:ascii="Times New Roman" w:hAnsi="Times New Roman" w:eastAsia="宋体"/>
          <w:b/>
          <w:bCs/>
          <w:sz w:val="24"/>
          <w:szCs w:val="24"/>
        </w:rPr>
        <w:t>User（研究者）→ Sandbox（世界设定：POI/车队/货类白名单）→ ExperimentScheme（参数模板）→ Experiment（批次：参数快照 + 种子 + 结果）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，参数采用双层 TOML（沙箱世界规则 / 实验参数）描述（图 1-7）。</w:t>
      </w:r>
    </w:p>
    <w:p w14:paraId="60309DA7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三件事保证严格复现。其一，虚拟时钟：仿真时间 = 起点 + tick 数 × 步长，与真实时钟解耦，倍速只改变真实世界的 tick 触发频率；其二，单线程确定性 tick：主循环每 tick 按固定顺序执行“释放订单→SA 派单→消费事件脚本→恢复维修/休息→移动→快照”，全部随机性来自单一种子 RNG，SA 的随机邻域、司机等级、事件触发同源；其三，确定性数据生成器：在仿真系统之外按“世界规则 + 实验参数 + 种子”预生成订单流（泊松/均匀到达）与随机事件脚本，同种子同参数输出逐字节一致（单测断言），并以 DataGeneratorVersion（v2）防止旧种子误导入。</w:t>
      </w:r>
    </w:p>
    <w:p w14:paraId="1426EFA1">
      <w:pPr>
        <w:spacing w:before="160" w:after="8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代码 1-6  虚拟时钟（virtual_clock.go 节选）</w:t>
      </w:r>
    </w:p>
    <w:p w14:paraId="52C68BBB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// 虚拟时间 = 起点 + tick 数 × 步长；倍速只改变真实世界的 tick 触发频率</w:t>
      </w:r>
    </w:p>
    <w:p w14:paraId="128E0F4D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func (c *VirtualClock) Now() time.Time {</w:t>
      </w:r>
    </w:p>
    <w:p w14:paraId="5C3B58CF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 xml:space="preserve">    return c.start.Add(time.Duration(c.tick.Load()*c.tickSeconds) * time.Second)</w:t>
      </w:r>
    </w:p>
    <w:p w14:paraId="47FF7B69">
      <w:pPr>
        <w:shd w:val="clear" w:fill="F2F2EC"/>
        <w:spacing w:line="260" w:lineRule="auto"/>
        <w:ind w:left="420" w:right="420"/>
      </w:pPr>
      <w:r>
        <w:rPr>
          <w:rFonts w:ascii="Consolas" w:hAnsi="Consolas" w:eastAsia="宋体"/>
          <w:sz w:val="19"/>
          <w:szCs w:val="19"/>
        </w:rPr>
        <w:t>}</w:t>
      </w:r>
    </w:p>
    <w:p w14:paraId="2F53AA24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复现性已得到实证：同种子两次完整实验的调度总成本逐位一致（35025.80213604554）。工程配套上，9 张运行表增加 experiment_id 维度列（0=沙箱模板态、&gt;0=实验实例）实现数据隔离；实验启动时从车队模板实例化专属车辆与司机；登录鉴权与内存 token 保护全部业务路由与 WebSocket。测试环境方面，task 包测试强制读独立的 config-test.yml 测试库，解决了误伤生产数据库的后顾之忧；生成器与纯函数模块均有单元测试覆盖。</w:t>
      </w:r>
    </w:p>
    <w:p w14:paraId="13FBB80E">
      <w:pPr>
        <w:spacing w:before="160" w:after="60"/>
        <w:jc w:val="center"/>
      </w:pPr>
      <w:r>
        <w:drawing>
          <wp:inline distT="0" distB="0" distL="0" distR="0">
            <wp:extent cx="5143500" cy="27241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B3A4">
      <w:pPr>
        <w:spacing w:after="240"/>
        <w:jc w:val="center"/>
        <w:rPr>
          <w:rFonts w:ascii="Times New Roman" w:hAnsi="Times New Roman" w:eastAsia="黑体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黑体"/>
          <w:b/>
          <w:bCs/>
          <w:sz w:val="21"/>
          <w:szCs w:val="21"/>
        </w:rPr>
        <w:t>图 1-7  实验沙箱流程与复现机制</w:t>
      </w:r>
      <w:bookmarkStart w:id="17" w:name="_GoBack"/>
      <w:bookmarkEnd w:id="17"/>
      <w:bookmarkStart w:id="8" w:name="_Toc9"/>
    </w:p>
    <w:p w14:paraId="5A00D3F1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 xml:space="preserve">沙箱管理界面与实验参数配置界面分别如图 1-8、图 1-9 所示：前者以世界设定卡片呈现各沙箱（基础设施与世界规则）及其下挂的实验方案与批次，演示沙箱内置 1146 个成都 POI 与 20 辆川A车队模板；后者提供表单与 TOML 高级编辑双向配置，涵盖随机种子、虚拟时长、时间加速比、车队规模、日均订单量与 SA 超参，并内嵌“相同种子 + 相同参数结果可复现”的口径提示。</w:t>
      </w:r>
    </w:p>
    <w:p w14:paraId="5A00D32B">
      <w:pPr>
        <w:spacing w:before="160" w:after="60"/>
        <w:jc w:val="center"/>
      </w:pPr>
      <w:r>
        <w:drawing>
          <wp:inline distT="0" distB="0" distL="0" distR="0">
            <wp:extent cx="5143500" cy="3257550"/>
            <wp:effectExtent l="0" t="0" r="0" b="0"/>
            <wp:docPr id="9003" name="图片 9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图片 9003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D38F">
      <w:pPr>
        <w:spacing w:after="24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 xml:space="preserve">图 1-8  沙箱管理界面：世界设定卡片与实验入口</w:t>
      </w:r>
    </w:p>
    <w:p w14:paraId="5A00D32C">
      <w:pPr>
        <w:spacing w:before="160" w:after="60"/>
        <w:jc w:val="center"/>
      </w:pPr>
      <w:r>
        <w:drawing>
          <wp:inline distT="0" distB="0" distL="0" distR="0">
            <wp:extent cx="5143500" cy="3286125"/>
            <wp:effectExtent l="0" t="0" r="0" b="0"/>
            <wp:docPr id="9004" name="图片 9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图片 9004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D390">
      <w:pPr>
        <w:spacing w:after="24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 xml:space="preserve">图 1-9  实验参数配置界面：表单与 TOML 双向编辑</w:t>
      </w:r>
    </w:p>
    <w:p w14:paraId="5A00D3F2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 xml:space="preserve">在复现保证之上，</w:t>
      </w:r>
      <w:r>
        <w:rPr>
          <w:rFonts w:ascii="Times New Roman" w:hAnsi="Times New Roman" w:eastAsia="宋体"/>
          <w:b w:val="0"/>
          <w:bCs w:val="0"/>
          <w:sz w:val="24"/>
          <w:szCs w:val="24"/>
          <w:b/>
        </w:rPr>
        <w:t xml:space="preserve">实验对比界面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 xml:space="preserve">（图 1-10）支持同沙箱实验的横向对比与跨沙箱追加对比：主目标雷达按“越大越优”归一化口径折算后直观呈现多批次权衡，关键指标柱状对比与结果明细辅助定位参数差异带来的影响，为多目标权衡提供受控比较的平台。</w:t>
      </w:r>
    </w:p>
    <w:p w14:paraId="5A00D32D">
      <w:pPr>
        <w:spacing w:before="160" w:after="60"/>
        <w:jc w:val="center"/>
      </w:pPr>
      <w:r>
        <w:drawing>
          <wp:inline distT="0" distB="0" distL="0" distR="0">
            <wp:extent cx="5143500" cy="3257550"/>
            <wp:effectExtent l="0" t="0" r="0" b="0"/>
            <wp:docPr id="9005" name="图片 9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图片 9005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D391">
      <w:pPr>
        <w:spacing w:after="24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 xml:space="preserve">图 1-10  实验对比界面：主目标雷达与关键指标对比</w:t>
      </w:r>
    </w:p>
    <w:p w14:paraId="27F79434">
      <w:pPr>
        <w:pStyle w:val="3"/>
        <w:spacing w:before="320" w:after="200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1.3 知识技能学习情况</w:t>
      </w:r>
      <w:bookmarkEnd w:id="8"/>
    </w:p>
    <w:p w14:paraId="474D8965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在本阶段开发中，团队成员在工程实践上获得了显著提升：</w:t>
      </w:r>
      <w:r>
        <w:rPr>
          <w:rFonts w:ascii="Times New Roman" w:hAnsi="Times New Roman" w:eastAsia="宋体"/>
          <w:b/>
          <w:bCs/>
          <w:sz w:val="24"/>
          <w:szCs w:val="24"/>
        </w:rPr>
        <w:t>1. 确定性系统设计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：理解了“可复现是仿真实验的生命线”，掌握 RNG 消费序控制、虚拟时钟与单线程 tick 的组合技术；</w:t>
      </w:r>
      <w:r>
        <w:rPr>
          <w:rFonts w:ascii="Times New Roman" w:hAnsi="Times New Roman" w:eastAsia="宋体"/>
          <w:b/>
          <w:bCs/>
          <w:sz w:val="24"/>
          <w:szCs w:val="24"/>
        </w:rPr>
        <w:t>2. 测试驱动开发与测试环境构造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：独立测试库隔离、纯函数桩运行时、字节级一致性断言；</w:t>
      </w:r>
      <w:r>
        <w:rPr>
          <w:rFonts w:ascii="Times New Roman" w:hAnsi="Times New Roman" w:eastAsia="宋体"/>
          <w:b/>
          <w:bCs/>
          <w:sz w:val="24"/>
          <w:szCs w:val="24"/>
        </w:rPr>
        <w:t>3. 概率建模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：泊松订单流、逐 tick 伯努利事件、等级修正因子的工程化落地；</w:t>
      </w:r>
      <w:r>
        <w:rPr>
          <w:rFonts w:ascii="Times New Roman" w:hAnsi="Times New Roman" w:eastAsia="宋体"/>
          <w:b/>
          <w:bCs/>
          <w:sz w:val="24"/>
          <w:szCs w:val="24"/>
        </w:rPr>
        <w:t>4. 多目标优化理论向工程的转化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：标量化、主/软约束分层，并将检索评价的 P/R/F1/MRR 思想迁移到调度质量评价；</w:t>
      </w:r>
      <w:r>
        <w:rPr>
          <w:rFonts w:ascii="Times New Roman" w:hAnsi="Times New Roman" w:eastAsia="宋体"/>
          <w:b/>
          <w:bCs/>
          <w:sz w:val="24"/>
          <w:szCs w:val="24"/>
        </w:rPr>
        <w:t>5. 前端工程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：WebSocket 实时推送、覆盖层交互动画、自实现 LCS 行级分栏 Diff；</w:t>
      </w:r>
      <w:r>
        <w:rPr>
          <w:rFonts w:ascii="Times New Roman" w:hAnsi="Times New Roman" w:eastAsia="宋体"/>
          <w:b/>
          <w:bCs/>
          <w:sz w:val="24"/>
          <w:szCs w:val="24"/>
        </w:rPr>
        <w:t>6. 数据建模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：维度列隔离、参数快照、种子导入导出的可重放实验设计。</w:t>
      </w:r>
    </w:p>
    <w:p w14:paraId="48948F9A">
      <w:pPr>
        <w:pStyle w:val="2"/>
        <w:pageBreakBefore/>
        <w:spacing w:before="240" w:after="360"/>
        <w:jc w:val="center"/>
      </w:pPr>
      <w:bookmarkStart w:id="9" w:name="_Toc10"/>
      <w:r>
        <w:rPr>
          <w:rFonts w:ascii="Times New Roman" w:hAnsi="Times New Roman" w:eastAsia="黑体"/>
          <w:b/>
          <w:bCs/>
          <w:color w:val="000000"/>
          <w:sz w:val="32"/>
          <w:szCs w:val="32"/>
        </w:rPr>
        <w:t>第二章  存在问题与解决方案</w:t>
      </w:r>
      <w:bookmarkEnd w:id="9"/>
    </w:p>
    <w:p w14:paraId="583B1494">
      <w:pPr>
        <w:pStyle w:val="3"/>
        <w:spacing w:before="320" w:after="200"/>
      </w:pPr>
      <w:bookmarkStart w:id="10" w:name="_Toc11"/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2.1 存在的主要问题</w:t>
      </w:r>
      <w:bookmarkEnd w:id="10"/>
    </w:p>
    <w:p w14:paraId="60CDC83A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  <w:szCs w:val="24"/>
        </w:rPr>
        <w:t>（1）货物材料需求发生链条尚未实现。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任务书 1.1 要求实现货物材料加工场景的吨位/方量变化趋势与至少一条需求发生链条（如“原木—木材—板材—家具”）。当前订单流为各货类独立的泊松到达，货类之间没有上下游传导关系，“家具厂的订单会拉动板材厂”这类供应链因果尚未建模。这是当前与任务书要求差距最明确的一项。</w:t>
      </w:r>
    </w:p>
    <w:p w14:paraId="32E95F6C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  <w:szCs w:val="24"/>
        </w:rPr>
        <w:t>（2）事件与状态数量距“优”档有缺口。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现有司机行为状态 3 种（可用、拒单、休息中）加维修联动，随机事件 4 类（拒单、疲劳休息、极端天气、车祸）。任务书评价标准“优”档要求司机行为状态 5 种以上、随机事件 5 种以上，还差 1～2 类（缺货、货损、交通拥堵等）。</w:t>
      </w:r>
    </w:p>
    <w:p w14:paraId="1FA81D1A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  <w:szCs w:val="24"/>
        </w:rPr>
        <w:t>（3）多目标机制形态待丰富。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现有加权标量化与主/软约束分层两种机制已满足“至少 2 种”的下限，但缺乏帕累托前沿类机制，无法回答“权重 λ 变化下解集如何权衡”这一更深层问题；碳排目前只在结果层计量，未形成对派单的约束力。</w:t>
      </w:r>
    </w:p>
    <w:p w14:paraId="22CDFF61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  <w:szCs w:val="24"/>
        </w:rPr>
        <w:t>（4）评价口径的固有局限。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全局精确最优在 20 辆车队下组合爆炸，M1-M4 采用条件最优口径（弱于全局最优）；A3 精确 gap 仅在小规模时启用。评价体系存在“以弱口径自证”的理论局限，需在报告与答辩中如实说明。</w:t>
      </w:r>
    </w:p>
    <w:p w14:paraId="33BF0469">
      <w:pPr>
        <w:pStyle w:val="3"/>
        <w:spacing w:before="320" w:after="200"/>
      </w:pPr>
      <w:bookmarkStart w:id="11" w:name="_Toc12"/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2.2 解决方案</w:t>
      </w:r>
      <w:bookmarkEnd w:id="11"/>
    </w:p>
    <w:p w14:paraId="3FCD3F67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  <w:szCs w:val="24"/>
        </w:rPr>
        <w:t>（1）需求链条（对应问题 1）：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设计如图 2-1 的传导规则，在数据生成器实现：基础需求按泊松独立到达；上游节点订单成交后以概率 β 经加工延迟 L 触发下游补货订单；下游吨位按产出率 α 折算（体现加工损耗）；链条拓扑与 α/β/L 参数写入世界规则 TOML，生成器版本升 v3 并保持逐字节可复现。POI 库已含家具/建材/五金类真实工厂与市场（1146 个成都 POI），链条起点/终点可直接落在真实坐标上。</w:t>
      </w:r>
    </w:p>
    <w:p w14:paraId="3F879216">
      <w:pPr>
        <w:spacing w:before="160" w:after="60"/>
        <w:jc w:val="center"/>
      </w:pPr>
      <w:r>
        <w:drawing>
          <wp:inline distT="0" distB="0" distL="0" distR="0">
            <wp:extent cx="4762500" cy="21240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1330">
      <w:pPr>
        <w:spacing w:after="24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图 2-1  货物材料需求发生链条设计（后续实现方案）</w:t>
      </w:r>
    </w:p>
    <w:p w14:paraId="49ACBFBD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  <w:szCs w:val="24"/>
        </w:rPr>
        <w:t>（2）事件补齐（对应问题 2）：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新增三类事件——缺货（装货节点库存不足，延迟装货形成额外等待）、货损（运输中部分货损，送达吨位折减，影响吞吐与成本）、交通拥堵（在分时段速度系数基础上叠加随机拥堵路段，降速不改道）。加上现有 4 类达 7 类；司机行为状态增加“请假”后达 5 种，满足“优”档数量要求。</w:t>
      </w:r>
    </w:p>
    <w:p w14:paraId="60727C06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  <w:szCs w:val="24"/>
        </w:rPr>
        <w:t>（3）帕累托机制（对应问题 3）：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在加权法之外实现 ε-约束法变体：固定 C2 为主目标，将 U4 空驶率、T2 P95 作为 ε 约束边界，扫描 ε 网格生成近似帕累托前沿；实验参数开放 λ 权重与 ε 边界，用同种子批次做受控对比。碳排约束：G2_carbon_max 收紧时向 Cost 追加超限惩罚项。</w:t>
      </w:r>
    </w:p>
    <w:p w14:paraId="16A2CB03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  <w:szCs w:val="24"/>
        </w:rPr>
        <w:t>（4）口径补强（对应问题 4）：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小批次保留精确枚举 gap 作“锚点”校验条件最优口径的偏差；报告与答辩中所有结论均注明口径与局限。</w:t>
      </w:r>
    </w:p>
    <w:p w14:paraId="39C0C45B">
      <w:pPr>
        <w:pStyle w:val="2"/>
        <w:pageBreakBefore/>
        <w:spacing w:before="240" w:after="360"/>
        <w:jc w:val="center"/>
      </w:pPr>
      <w:bookmarkStart w:id="12" w:name="_Toc13"/>
      <w:r>
        <w:rPr>
          <w:rFonts w:ascii="Times New Roman" w:hAnsi="Times New Roman" w:eastAsia="黑体"/>
          <w:b/>
          <w:bCs/>
          <w:color w:val="000000"/>
          <w:sz w:val="32"/>
          <w:szCs w:val="32"/>
        </w:rPr>
        <w:t>第三章  前期任务完成度与后续实施计划</w:t>
      </w:r>
      <w:bookmarkEnd w:id="12"/>
    </w:p>
    <w:p w14:paraId="6D32CA29">
      <w:pPr>
        <w:pStyle w:val="3"/>
        <w:spacing w:before="320" w:after="200"/>
      </w:pPr>
      <w:bookmarkStart w:id="13" w:name="_Toc14"/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3.1 任务书要求完成度对照</w:t>
      </w:r>
      <w:bookmarkEnd w:id="13"/>
    </w:p>
    <w:p w14:paraId="5038D347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按任务书主要任务逐项对照当前实现状态如表 3-1 所示。</w:t>
      </w:r>
    </w:p>
    <w:p w14:paraId="7A8A682E">
      <w:pPr>
        <w:spacing w:before="160" w:after="12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表 3-1  任务书主要任务完成度对照</w:t>
      </w:r>
    </w:p>
    <w:tbl>
      <w:tblPr>
        <w:tblStyle w:val="12"/>
        <w:tblW w:w="5000" w:type="pct"/>
        <w:tblInd w:w="0" w:type="dxa"/>
        <w:tblBorders>
          <w:top w:val="single" w:color="000000" w:sz="14" w:space="0"/>
          <w:left w:val="none" w:color="FFFFFF" w:sz="0" w:space="0"/>
          <w:bottom w:val="single" w:color="000000" w:sz="14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827"/>
        <w:gridCol w:w="4153"/>
        <w:gridCol w:w="1163"/>
      </w:tblGrid>
      <w:tr w14:paraId="58D69BAC">
        <w:tblPrEx>
          <w:tblBorders>
            <w:top w:val="single" w:color="000000" w:sz="14" w:space="0"/>
            <w:left w:val="none" w:color="FFFFFF" w:sz="0" w:space="0"/>
            <w:bottom w:val="single" w:color="000000" w:sz="14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nil"/>
              <w:left w:val="nil"/>
              <w:bottom w:val="single" w:color="404040" w:sz="8" w:space="0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3B0EE">
            <w:pPr>
              <w:spacing w:line="280" w:lineRule="auto"/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任务书条目</w:t>
            </w:r>
          </w:p>
        </w:tc>
        <w:tc>
          <w:tcPr>
            <w:tcW w:w="1100" w:type="pct"/>
            <w:tcBorders>
              <w:top w:val="nil"/>
              <w:left w:val="nil"/>
              <w:bottom w:val="single" w:color="404040" w:sz="8" w:space="0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B4141E">
            <w:pPr>
              <w:spacing w:line="280" w:lineRule="auto"/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要求</w:t>
            </w:r>
          </w:p>
        </w:tc>
        <w:tc>
          <w:tcPr>
            <w:tcW w:w="2500" w:type="pct"/>
            <w:tcBorders>
              <w:top w:val="nil"/>
              <w:left w:val="nil"/>
              <w:bottom w:val="single" w:color="404040" w:sz="8" w:space="0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FC9B9">
            <w:pPr>
              <w:spacing w:line="280" w:lineRule="auto"/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本阶段实现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404040" w:sz="8" w:space="0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18A63">
            <w:pPr>
              <w:spacing w:line="280" w:lineRule="auto"/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状态</w:t>
            </w:r>
          </w:p>
        </w:tc>
      </w:tr>
      <w:tr w14:paraId="0975D277">
        <w:tblPrEx>
          <w:tblBorders>
            <w:top w:val="single" w:color="000000" w:sz="14" w:space="0"/>
            <w:left w:val="none" w:color="FFFFFF" w:sz="0" w:space="0"/>
            <w:bottom w:val="single" w:color="000000" w:sz="14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C2650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1.1 需求链条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1CF05D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吨位/方量变化趋势，至少 1 条链条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A656F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订单流泊松到达已实现；链条传导规则已设计（图 2-1），编码列入计划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98BFC">
            <w:pPr>
              <w:spacing w:line="28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部分完成</w:t>
            </w:r>
          </w:p>
        </w:tc>
      </w:tr>
      <w:tr w14:paraId="559F0DB0">
        <w:tblPrEx>
          <w:tblBorders>
            <w:top w:val="single" w:color="000000" w:sz="14" w:space="0"/>
            <w:left w:val="none" w:color="FFFFFF" w:sz="0" w:space="0"/>
            <w:bottom w:val="single" w:color="000000" w:sz="14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73BB2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1.2 司机行为状态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89240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至少 2 种，数学概率基准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9C6130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拒单（p=0.06×等级修正）、疲劳休息（4h/20min）、维修联动；增加请假状态后达 5 种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C148F">
            <w:pPr>
              <w:spacing w:line="28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基本完成</w:t>
            </w:r>
          </w:p>
        </w:tc>
      </w:tr>
      <w:tr w14:paraId="6D93DAF4">
        <w:tblPrEx>
          <w:tblBorders>
            <w:top w:val="single" w:color="000000" w:sz="14" w:space="0"/>
            <w:left w:val="none" w:color="FFFFFF" w:sz="0" w:space="0"/>
            <w:bottom w:val="single" w:color="000000" w:sz="14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79FE1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1.3 运输随机事件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CD0B9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至少 2 种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3E485C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极端天气、车祸 2 类已实现（另有司机侧拒单/休息）；补齐缺货/货损/拥堵后达 7 类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FD0AEB">
            <w:pPr>
              <w:spacing w:line="28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基本完成</w:t>
            </w:r>
          </w:p>
        </w:tc>
      </w:tr>
      <w:tr w14:paraId="3FD576DA">
        <w:tblPrEx>
          <w:tblBorders>
            <w:top w:val="single" w:color="000000" w:sz="14" w:space="0"/>
            <w:left w:val="none" w:color="FFFFFF" w:sz="0" w:space="0"/>
            <w:bottom w:val="single" w:color="000000" w:sz="14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91D5FA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1.4 实时统计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11617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对优化目标实时统计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C0D55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八维指标体系 + WS 3s 推送 + 每 6 tick 快照落库 + 匹配质量/可靠性评价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97CC3">
            <w:pPr>
              <w:spacing w:line="28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已完成</w:t>
            </w:r>
          </w:p>
        </w:tc>
      </w:tr>
      <w:tr w14:paraId="322E9E10">
        <w:tblPrEx>
          <w:tblBorders>
            <w:top w:val="single" w:color="000000" w:sz="14" w:space="0"/>
            <w:left w:val="none" w:color="FFFFFF" w:sz="0" w:space="0"/>
            <w:bottom w:val="single" w:color="000000" w:sz="14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52CBA5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2 全局多目标优化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1DF96E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多目标机制至少 2 种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0192A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SA 全局批量调度；机制一：Cost A–F 加权标量化；机制二：4 主目标 + 2 软约束分层与同种子受控对比；帕累托机制列入计划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ABACA0">
            <w:pPr>
              <w:spacing w:line="28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基本完成</w:t>
            </w:r>
          </w:p>
        </w:tc>
      </w:tr>
    </w:tbl>
    <w:p w14:paraId="472D5662">
      <w:pPr>
        <w:spacing w:before="0" w:after="120"/>
      </w:pPr>
    </w:p>
    <w:p w14:paraId="7540A8C5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对照任务书“优”档标准（司机状态 ≥5 种、随机事件 ≥5 种、多目标机制 &gt;3 种），当前处于“良”向“优”推进的中段：实时统计与全局优化主链已达“优”档工作量，缺口集中在需求链条与事件/机制数量，方案与排期均已明确。</w:t>
      </w:r>
    </w:p>
    <w:p w14:paraId="5C3C8FF1">
      <w:pPr>
        <w:pStyle w:val="3"/>
        <w:spacing w:before="320" w:after="200"/>
      </w:pPr>
      <w:bookmarkStart w:id="14" w:name="_Toc15"/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3.2 后续实施计划</w:t>
      </w:r>
      <w:bookmarkEnd w:id="14"/>
    </w:p>
    <w:p w14:paraId="3EBA2B08">
      <w:pPr>
        <w:spacing w:before="160" w:after="120"/>
        <w:jc w:val="center"/>
      </w:pPr>
      <w:r>
        <w:rPr>
          <w:rFonts w:ascii="Times New Roman" w:hAnsi="Times New Roman" w:eastAsia="黑体"/>
          <w:b/>
          <w:bCs/>
          <w:sz w:val="21"/>
          <w:szCs w:val="21"/>
        </w:rPr>
        <w:t>表 3-2  后续实施计划</w:t>
      </w:r>
    </w:p>
    <w:tbl>
      <w:tblPr>
        <w:tblStyle w:val="12"/>
        <w:tblW w:w="5000" w:type="pct"/>
        <w:tblInd w:w="0" w:type="dxa"/>
        <w:tblBorders>
          <w:top w:val="single" w:color="000000" w:sz="14" w:space="0"/>
          <w:left w:val="none" w:color="FFFFFF" w:sz="0" w:space="0"/>
          <w:bottom w:val="single" w:color="000000" w:sz="14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1827"/>
        <w:gridCol w:w="5482"/>
      </w:tblGrid>
      <w:tr w14:paraId="4DFA5536">
        <w:tblPrEx>
          <w:tblBorders>
            <w:top w:val="single" w:color="000000" w:sz="14" w:space="0"/>
            <w:left w:val="none" w:color="FFFFFF" w:sz="0" w:space="0"/>
            <w:bottom w:val="single" w:color="000000" w:sz="14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nil"/>
              <w:left w:val="nil"/>
              <w:bottom w:val="single" w:color="404040" w:sz="8" w:space="0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CF615">
            <w:pPr>
              <w:spacing w:line="280" w:lineRule="auto"/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1100" w:type="pct"/>
            <w:tcBorders>
              <w:top w:val="nil"/>
              <w:left w:val="nil"/>
              <w:bottom w:val="single" w:color="404040" w:sz="8" w:space="0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2CC91">
            <w:pPr>
              <w:spacing w:line="280" w:lineRule="auto"/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工作项</w:t>
            </w:r>
          </w:p>
        </w:tc>
        <w:tc>
          <w:tcPr>
            <w:tcW w:w="3300" w:type="pct"/>
            <w:tcBorders>
              <w:top w:val="nil"/>
              <w:left w:val="nil"/>
              <w:bottom w:val="single" w:color="404040" w:sz="8" w:space="0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2CFFC">
            <w:pPr>
              <w:spacing w:line="280" w:lineRule="auto"/>
              <w:jc w:val="center"/>
            </w:pPr>
            <w:r>
              <w:rPr>
                <w:rFonts w:ascii="Times New Roman" w:hAnsi="Times New Roman" w:eastAsia="黑体"/>
                <w:b/>
                <w:bCs/>
                <w:sz w:val="21"/>
                <w:szCs w:val="21"/>
              </w:rPr>
              <w:t>关键产出</w:t>
            </w:r>
          </w:p>
        </w:tc>
      </w:tr>
      <w:tr w14:paraId="4172F8E1">
        <w:tblPrEx>
          <w:tblBorders>
            <w:top w:val="single" w:color="000000" w:sz="14" w:space="0"/>
            <w:left w:val="none" w:color="FFFFFF" w:sz="0" w:space="0"/>
            <w:bottom w:val="single" w:color="000000" w:sz="14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23907">
            <w:pPr>
              <w:spacing w:line="28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第 1 周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B1C12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需求发生链条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72684B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生成器 v3（α/β/L 传导）、TOML 规则、链条订单回归测试</w:t>
            </w:r>
          </w:p>
        </w:tc>
      </w:tr>
      <w:tr w14:paraId="28CBA54C">
        <w:tblPrEx>
          <w:tblBorders>
            <w:top w:val="single" w:color="000000" w:sz="14" w:space="0"/>
            <w:left w:val="none" w:color="FFFFFF" w:sz="0" w:space="0"/>
            <w:bottom w:val="single" w:color="000000" w:sz="14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B01CA2">
            <w:pPr>
              <w:spacing w:line="28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第 2 周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C482A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事件补齐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D5AFA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缺货/货损/拥堵三类事件 + 请假状态，事件数达 7、状态数达 5</w:t>
            </w:r>
          </w:p>
        </w:tc>
      </w:tr>
      <w:tr w14:paraId="73BF6751">
        <w:tblPrEx>
          <w:tblBorders>
            <w:top w:val="single" w:color="000000" w:sz="14" w:space="0"/>
            <w:left w:val="none" w:color="FFFFFF" w:sz="0" w:space="0"/>
            <w:bottom w:val="single" w:color="000000" w:sz="14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6F2E7">
            <w:pPr>
              <w:spacing w:line="28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第 3 周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C93380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帕累托多目标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25EC9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ε-约束扫描、近似帕累托前沿、λ/ε 参数面板、碳排超限惩罚接入</w:t>
            </w:r>
          </w:p>
        </w:tc>
      </w:tr>
      <w:tr w14:paraId="523BF040">
        <w:tblPrEx>
          <w:tblBorders>
            <w:top w:val="single" w:color="000000" w:sz="14" w:space="0"/>
            <w:left w:val="none" w:color="FFFFFF" w:sz="0" w:space="0"/>
            <w:bottom w:val="single" w:color="000000" w:sz="14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0A254">
            <w:pPr>
              <w:spacing w:line="280" w:lineRule="auto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第 4 周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3C9ECD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实验与结题</w:t>
            </w:r>
          </w:p>
        </w:tc>
        <w:tc>
          <w:tcPr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1BD23">
            <w:pPr>
              <w:spacing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  <w:szCs w:val="21"/>
              </w:rPr>
              <w:t>多组参数批次实验、对比分析、结题报告与答辩材料</w:t>
            </w:r>
          </w:p>
        </w:tc>
      </w:tr>
    </w:tbl>
    <w:p w14:paraId="7B946730">
      <w:pPr>
        <w:spacing w:before="0" w:after="120"/>
      </w:pPr>
    </w:p>
    <w:p w14:paraId="30B28521">
      <w:pPr>
        <w:pStyle w:val="3"/>
        <w:spacing w:before="320" w:after="200"/>
      </w:pPr>
      <w:bookmarkStart w:id="15" w:name="_Toc16"/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3.3 团队分工</w:t>
      </w:r>
      <w:bookmarkEnd w:id="15"/>
    </w:p>
    <w:p w14:paraId="5B8F2CBD">
      <w:pPr>
        <w:spacing w:line="34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本阶段的方案设计（指标体系选型、优化对象框架、沙箱总体架构、展示规范）由全体小组集体讨论完成，编码实现按六个工作包推进：</w:t>
      </w:r>
    </w:p>
    <w:p w14:paraId="6EAAD228">
      <w:pPr>
        <w:spacing w:line="340" w:lineRule="auto"/>
        <w:ind w:firstLine="480"/>
        <w:jc w:val="both"/>
      </w:pPr>
      <w:r>
        <w:rPr>
          <w:rFonts w:hint="eastAsia"/>
          <w:b/>
          <w:bCs/>
          <w:sz w:val="24"/>
          <w:szCs w:val="24"/>
          <w:lang w:val="en-US" w:eastAsia="zh-CN"/>
        </w:rPr>
        <w:t>丁宁：</w:t>
      </w:r>
      <w:r>
        <w:rPr>
          <w:rFonts w:ascii="Times New Roman" w:hAnsi="Times New Roman" w:eastAsia="宋体"/>
          <w:b/>
          <w:bCs/>
          <w:sz w:val="24"/>
          <w:szCs w:val="24"/>
        </w:rPr>
        <w:t>统计计算引擎与指标落地（后端）：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统计链路、M/U/T/A/C/R/F/G 八维指标、匹配质量评价；</w:t>
      </w:r>
    </w:p>
    <w:p w14:paraId="637552E8">
      <w:pPr>
        <w:spacing w:line="340" w:lineRule="auto"/>
        <w:ind w:firstLine="480"/>
        <w:jc w:val="both"/>
      </w:pPr>
      <w:r>
        <w:rPr>
          <w:rFonts w:hint="eastAsia"/>
          <w:b/>
          <w:bCs/>
          <w:sz w:val="24"/>
          <w:szCs w:val="24"/>
          <w:lang w:val="en-US" w:eastAsia="zh-CN"/>
        </w:rPr>
        <w:t>李韦成：</w:t>
      </w:r>
      <w:r>
        <w:rPr>
          <w:rFonts w:ascii="Times New Roman" w:hAnsi="Times New Roman" w:eastAsia="宋体"/>
          <w:b/>
          <w:bCs/>
          <w:sz w:val="24"/>
          <w:szCs w:val="24"/>
        </w:rPr>
        <w:t>司机与随机事件引擎（后端）：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司机对象、四类事件状态机、统一暂停机制；</w:t>
      </w:r>
    </w:p>
    <w:p w14:paraId="1860F6B3">
      <w:pPr>
        <w:spacing w:line="340" w:lineRule="auto"/>
        <w:ind w:firstLine="480"/>
        <w:jc w:val="both"/>
      </w:pPr>
      <w:r>
        <w:rPr>
          <w:rFonts w:hint="eastAsia"/>
          <w:b/>
          <w:bCs/>
          <w:sz w:val="24"/>
          <w:szCs w:val="24"/>
          <w:lang w:val="en-US" w:eastAsia="zh-CN"/>
        </w:rPr>
        <w:t>胡天琦：</w:t>
      </w:r>
      <w:r>
        <w:rPr>
          <w:rFonts w:ascii="Times New Roman" w:hAnsi="Times New Roman" w:eastAsia="宋体"/>
          <w:b/>
          <w:bCs/>
          <w:sz w:val="24"/>
          <w:szCs w:val="24"/>
        </w:rPr>
        <w:t>运行期指标展示（前端）：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地图数据覆盖层、八组卡片、事件流时间线；</w:t>
      </w:r>
    </w:p>
    <w:p w14:paraId="2E129CB6">
      <w:pPr>
        <w:spacing w:line="340" w:lineRule="auto"/>
        <w:ind w:firstLine="480"/>
        <w:jc w:val="both"/>
      </w:pPr>
      <w:r>
        <w:rPr>
          <w:rFonts w:hint="eastAsia"/>
          <w:b/>
          <w:bCs/>
          <w:sz w:val="24"/>
          <w:szCs w:val="24"/>
          <w:lang w:val="en-US" w:eastAsia="zh-CN"/>
        </w:rPr>
        <w:t>万飞翔：</w:t>
      </w:r>
      <w:r>
        <w:rPr>
          <w:rFonts w:ascii="Times New Roman" w:hAnsi="Times New Roman" w:eastAsia="宋体"/>
          <w:b/>
          <w:bCs/>
          <w:sz w:val="24"/>
          <w:szCs w:val="24"/>
        </w:rPr>
        <w:t>沙箱数据模型与鉴权（后端）：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四级模型、维度隔离迁移、双层 TOML、登录鉴权；</w:t>
      </w:r>
    </w:p>
    <w:p w14:paraId="1D0F760B">
      <w:pPr>
        <w:spacing w:line="340" w:lineRule="auto"/>
        <w:ind w:firstLine="480"/>
        <w:jc w:val="both"/>
      </w:pPr>
      <w:r>
        <w:rPr>
          <w:rFonts w:hint="eastAsia"/>
          <w:b/>
          <w:bCs/>
          <w:sz w:val="24"/>
          <w:szCs w:val="24"/>
          <w:lang w:val="en-US" w:eastAsia="zh-CN"/>
        </w:rPr>
        <w:t>胡杨：</w:t>
      </w:r>
      <w:r>
        <w:rPr>
          <w:rFonts w:ascii="Times New Roman" w:hAnsi="Times New Roman" w:eastAsia="宋体"/>
          <w:b/>
          <w:bCs/>
          <w:sz w:val="24"/>
          <w:szCs w:val="24"/>
        </w:rPr>
        <w:t>沙箱引擎与全套 API（后端）：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实验运行时、虚拟时钟、确定性生成器、对比接口；</w:t>
      </w:r>
    </w:p>
    <w:p w14:paraId="2386C3B5">
      <w:pPr>
        <w:spacing w:line="340" w:lineRule="auto"/>
        <w:ind w:firstLine="480"/>
        <w:jc w:val="both"/>
      </w:pPr>
      <w:r>
        <w:rPr>
          <w:rFonts w:hint="eastAsia"/>
          <w:b/>
          <w:bCs/>
          <w:sz w:val="24"/>
          <w:szCs w:val="24"/>
          <w:lang w:val="en-US" w:eastAsia="zh-CN"/>
        </w:rPr>
        <w:t>华观中：</w:t>
      </w:r>
      <w:r>
        <w:rPr>
          <w:rFonts w:ascii="Times New Roman" w:hAnsi="Times New Roman" w:eastAsia="宋体"/>
          <w:b/>
          <w:bCs/>
          <w:sz w:val="24"/>
          <w:szCs w:val="24"/>
        </w:rPr>
        <w:t>沙箱页面流与结果工具链（前端）：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沙箱/实验页面流、参数分栏 Diff、报告导出。</w:t>
      </w:r>
    </w:p>
    <w:p w14:paraId="29C1E9A7">
      <w:pPr>
        <w:pStyle w:val="2"/>
        <w:pageBreakBefore/>
        <w:spacing w:before="240" w:after="360"/>
        <w:jc w:val="center"/>
      </w:pPr>
      <w:bookmarkStart w:id="16" w:name="_Toc17"/>
      <w:r>
        <w:rPr>
          <w:rFonts w:ascii="Times New Roman" w:hAnsi="Times New Roman" w:eastAsia="黑体"/>
          <w:b/>
          <w:bCs/>
          <w:color w:val="000000"/>
          <w:sz w:val="32"/>
          <w:szCs w:val="32"/>
        </w:rPr>
        <w:t>参考文献</w:t>
      </w:r>
      <w:bookmarkEnd w:id="16"/>
    </w:p>
    <w:p w14:paraId="69454FC6">
      <w:pPr>
        <w:spacing w:after="60" w:line="320" w:lineRule="auto"/>
        <w:ind w:left="480" w:hanging="480"/>
        <w:jc w:val="left"/>
      </w:pPr>
      <w:r>
        <w:rPr>
          <w:rFonts w:ascii="Times New Roman" w:hAnsi="Times New Roman" w:eastAsia="宋体"/>
          <w:sz w:val="21"/>
          <w:szCs w:val="21"/>
        </w:rPr>
        <w:t>[1]  进阶式挑战性综合项目 III 课题任务书——运输车辆调度优化与仿真. 电子科技大学信息与软件工程学院, 2026.</w:t>
      </w:r>
    </w:p>
    <w:p w14:paraId="7CF8428F">
      <w:pPr>
        <w:spacing w:after="60" w:line="320" w:lineRule="auto"/>
        <w:ind w:left="480" w:hanging="480"/>
        <w:jc w:val="left"/>
      </w:pPr>
      <w:r>
        <w:rPr>
          <w:rFonts w:ascii="Times New Roman" w:hAnsi="Times New Roman" w:eastAsia="宋体"/>
          <w:sz w:val="21"/>
          <w:szCs w:val="21"/>
        </w:rPr>
        <w:t>[2]  GIN TEAM. Gin Web Framework[EB/OL]. (2015-04-04)[2026-09-25]. https://github.com/gin-gonic/gin.</w:t>
      </w:r>
    </w:p>
    <w:p w14:paraId="17E6BFF9">
      <w:pPr>
        <w:spacing w:after="60" w:line="320" w:lineRule="auto"/>
        <w:ind w:left="480" w:hanging="480"/>
        <w:jc w:val="left"/>
      </w:pPr>
      <w:r>
        <w:rPr>
          <w:rFonts w:ascii="Times New Roman" w:hAnsi="Times New Roman" w:eastAsia="宋体"/>
          <w:sz w:val="21"/>
          <w:szCs w:val="21"/>
        </w:rPr>
        <w:t>[3]  APACHE SOFTWARE FOUNDATION. Apache ECharts[EB/OL]. (2013)[2026-09-25]. https://echarts.apache.org/.</w:t>
      </w:r>
    </w:p>
    <w:p w14:paraId="7D96E0F6">
      <w:pPr>
        <w:spacing w:after="60" w:line="320" w:lineRule="auto"/>
        <w:ind w:left="480" w:hanging="480"/>
        <w:jc w:val="left"/>
      </w:pPr>
      <w:r>
        <w:rPr>
          <w:rFonts w:ascii="Times New Roman" w:hAnsi="Times New Roman" w:eastAsia="宋体"/>
          <w:sz w:val="21"/>
          <w:szCs w:val="21"/>
        </w:rPr>
        <w:t>[4]  IETF. RFC 6455: The WebSocket Protocol[S/OL]. (2011-12)[2026-09-25]. https://datatracker.ietf.org/doc/html/rfc6455.</w:t>
      </w:r>
    </w:p>
    <w:p w14:paraId="50D8BF3C">
      <w:pPr>
        <w:spacing w:after="60" w:line="320" w:lineRule="auto"/>
        <w:ind w:left="480" w:hanging="480"/>
        <w:jc w:val="left"/>
      </w:pPr>
      <w:r>
        <w:rPr>
          <w:rFonts w:ascii="Times New Roman" w:hAnsi="Times New Roman" w:eastAsia="宋体"/>
          <w:sz w:val="21"/>
          <w:szCs w:val="21"/>
        </w:rPr>
        <w:t>[5]  KIRKPATRICK S, GELATT C D, VECCHI M P. Optimization by Simulated Annealing[J]. Science, 1983, 220(4598): 671-680.</w:t>
      </w:r>
    </w:p>
    <w:p w14:paraId="1F20558A">
      <w:pPr>
        <w:spacing w:after="60" w:line="320" w:lineRule="auto"/>
        <w:ind w:left="480" w:hanging="480"/>
        <w:jc w:val="left"/>
      </w:pPr>
      <w:r>
        <w:rPr>
          <w:rFonts w:ascii="Times New Roman" w:hAnsi="Times New Roman" w:eastAsia="宋体"/>
          <w:sz w:val="21"/>
          <w:szCs w:val="21"/>
        </w:rPr>
        <w:t>[6]  JINZHU Z. GORM: The fantastic ORM library for Golang[EB/OL]. [2026-09-25]. https://gorm.io.</w:t>
      </w:r>
    </w:p>
    <w:p w14:paraId="10E13580">
      <w:pPr>
        <w:spacing w:after="60" w:line="320" w:lineRule="auto"/>
        <w:ind w:left="480" w:hanging="480"/>
        <w:jc w:val="left"/>
      </w:pPr>
      <w:r>
        <w:rPr>
          <w:rFonts w:ascii="Times New Roman" w:hAnsi="Times New Roman" w:eastAsia="宋体"/>
          <w:sz w:val="21"/>
          <w:szCs w:val="21"/>
        </w:rPr>
        <w:t>[7]  YOU E. Vue.js: The Progressive JavaScript Framework[EB/OL]. (2014)[2026-09-25]. https://vuejs.org.</w:t>
      </w:r>
    </w:p>
    <w:p w14:paraId="31B989C5">
      <w:pPr>
        <w:spacing w:after="60" w:line="320" w:lineRule="auto"/>
        <w:ind w:left="480" w:hanging="480"/>
        <w:jc w:val="left"/>
      </w:pPr>
      <w:r>
        <w:rPr>
          <w:rFonts w:ascii="Times New Roman" w:hAnsi="Times New Roman" w:eastAsia="宋体"/>
          <w:sz w:val="21"/>
          <w:szCs w:val="21"/>
        </w:rPr>
        <w:t>[8]  高德开放平台. Web 服务 API 文档[EB/OL]. [2026-09-25]. https://lbs.amap.com.</w:t>
      </w:r>
    </w:p>
    <w:sectPr>
      <w:headerReference r:id="rId7" w:type="default"/>
      <w:footerReference r:id="rId8" w:type="default"/>
      <w:pgSz w:w="11906" w:h="16838"/>
      <w:pgMar w:top="1440" w:right="1800" w:bottom="1440" w:left="1800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AEE9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6709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30A75">
    <w:pPr>
      <w:jc w:val="center"/>
    </w:pPr>
    <w:r>
      <w:rPr>
        <w:rFonts w:ascii="Times New Roman" w:hAnsi="Times New Roman" w:eastAsia="宋体"/>
        <w:sz w:val="18"/>
        <w:szCs w:val="18"/>
      </w:rPr>
      <w:t xml:space="preserve">第 </w:t>
    </w: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PAGE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fldChar w:fldCharType="end"/>
    </w:r>
    <w:r>
      <w:rPr>
        <w:rFonts w:ascii="Times New Roman" w:hAnsi="Times New Roman" w:eastAsia="宋体"/>
        <w:sz w:val="18"/>
        <w:szCs w:val="18"/>
      </w:rPr>
      <w:t xml:space="preserve"> 页，共 </w:t>
    </w: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NUMPAGES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fldChar w:fldCharType="end"/>
    </w:r>
    <w:r>
      <w:rPr>
        <w:rFonts w:ascii="Times New Roman" w:hAnsi="Times New Roman" w:eastAsia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A45D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834A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C2B7F">
    <w:pPr>
      <w:pBdr>
        <w:bottom w:val="single" w:color="999999" w:sz="4" w:space="0"/>
      </w:pBdr>
      <w:jc w:val="center"/>
    </w:pPr>
    <w:r>
      <w:rPr>
        <w:rFonts w:ascii="Times New Roman" w:hAnsi="Times New Roman" w:eastAsia="宋体"/>
        <w:color w:val="666666"/>
        <w:sz w:val="18"/>
        <w:szCs w:val="18"/>
      </w:rPr>
      <w:t>信软学院综合设计 III 中期报告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FD549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oc 2"/>
    <w:basedOn w:val="1"/>
    <w:next w:val="1"/>
    <w:qFormat/>
    <w:uiPriority w:val="39"/>
    <w:pPr>
      <w:ind w:left="210"/>
      <w:jc w:val="left"/>
    </w:pPr>
    <w:rPr>
      <w:rFonts w:ascii="Calibri" w:hAnsi="Calibri"/>
      <w:smallCaps/>
      <w:sz w:val="22"/>
    </w:rPr>
  </w:style>
  <w:style w:type="paragraph" w:styleId="11">
    <w:name w:val="Title"/>
    <w:basedOn w:val="1"/>
    <w:next w:val="1"/>
    <w:qFormat/>
    <w:uiPriority w:val="0"/>
    <w:rPr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basedOn w:val="1"/>
    <w:qFormat/>
    <w:uiPriority w:val="0"/>
  </w:style>
  <w:style w:type="character" w:customStyle="1" w:styleId="18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emf"/><Relationship Id="rId1" Type="http://schemas.openxmlformats.org/officeDocument/2006/relationships/styles" Target="styles.xml"/><Relationship Id="rId100" Type="http://schemas.openxmlformats.org/officeDocument/2006/relationships/image" Target="media/image8.jpg"/><Relationship Id="rId101" Type="http://schemas.openxmlformats.org/officeDocument/2006/relationships/image" Target="media/image9.png"/><Relationship Id="rId102" Type="http://schemas.openxmlformats.org/officeDocument/2006/relationships/image" Target="media/image10.png"/><Relationship Id="rId103" Type="http://schemas.openxmlformats.org/officeDocument/2006/relationships/image" Target="media/image11.png"/><Relationship Id="rId10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6682</Words>
  <Characters>9365</Characters>
  <TotalTime>5</TotalTime>
  <ScaleCrop>false</ScaleCrop>
  <LinksUpToDate>false</LinksUpToDate>
  <CharactersWithSpaces>10247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2026-10-12T11:53:00Z</dcterms:created>
  <dc:creator>TVSOS 小组</dc:creator>
  <cp:lastModifiedBy>溟湮丶熵落</cp:lastModifiedBy>
  <dcterms:modified xsi:type="dcterms:W3CDTF">2026-10-12T12:09:18Z</dcterms:modified>
  <dc:title>综合设计 III 中期报告——运输车辆调度优化与仿真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eyJoZGlkIjoiYWY0YTNjYTRkZWI1OTFkN2RhZmNmOTA5ZTkxNDc1YjkiLCJ1c2VySWQiOiIxMTk3NDQ2MTE4In0=</vt:lpwstr>
  </property>
  <property fmtid="{D5CDD505-2E9C-101B-9397-08002B2CF9AE}" pid="3" name="KSOProductBuildVer">
    <vt:lpwstr>2052-12.1.0.28505</vt:lpwstr>
  </property>
  <property fmtid="{D5CDD505-2E9C-101B-9397-08002B2CF9AE}" pid="4" name="ICV">
    <vt:lpwstr>144CE27EE84D44C1AD14810882820C2B_12</vt:lpwstr>
  </property>
</Properties>
</file>