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30DA4A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708" w:footer="708" w:gutter="0"/>
          <w:cols w:space="720" w:num="1"/>
          <w:docGrid w:linePitch="360" w:charSpace="0"/>
        </w:sectPr>
      </w:pPr>
      <w:bookmarkStart w:id="18" w:name="_GoBack"/>
      <w:bookmarkEnd w:id="18"/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396240</wp:posOffset>
                </wp:positionV>
                <wp:extent cx="5386070" cy="8107045"/>
                <wp:effectExtent l="15875" t="15875" r="20955" b="17780"/>
                <wp:wrapNone/>
                <wp:docPr id="10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</a:ln>
                      </wps:spPr>
                      <wps:txbx>
                        <w:txbxContent>
                          <w:p w14:paraId="50A6ED0C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/>
                              </w:rPr>
                              <w:drawing>
                                <wp:inline distT="0" distB="0" distL="0" distR="0">
                                  <wp:extent cx="1813560" cy="1371600"/>
                                  <wp:effectExtent l="0" t="0" r="0" b="0"/>
                                  <wp:docPr id="1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5C1AD2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899756F">
                            <w:pPr>
                              <w:jc w:val="center"/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 w:eastAsia="黑体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>
                              <w:rPr>
                                <w:rFonts w:ascii="Times" w:hAnsi="Times" w:eastAsia="黑体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30C646C9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进阶式挑战性综合项目 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I</w:t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I（数字动漫）</w:t>
                            </w:r>
                          </w:p>
                          <w:p w14:paraId="1130FA32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</w:rPr>
                              <w:t>运输车辆调度优化与仿真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B87A0F1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李贞昊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0C56069C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软件工程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243C3C4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hint="eastAsia" w:ascii="Times" w:hAnsi="Times"/>
                                <w:sz w:val="32"/>
                                <w:u w:val="single"/>
                                <w:lang w:val="en-US" w:eastAsia="zh-CN"/>
                              </w:rPr>
                              <w:t>第五学期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   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2F431AAB">
                            <w:pPr>
                              <w:spacing w:line="800" w:lineRule="exact"/>
                              <w:ind w:firstLine="470" w:firstLineChars="147"/>
                              <w:rPr>
                                <w:rFonts w:ascii="Times" w:hAnsi="Times"/>
                                <w:sz w:val="32"/>
                              </w:rPr>
                            </w:pPr>
                            <w:r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Style w:val="14"/>
                              <w:tblW w:w="7645" w:type="dxa"/>
                              <w:tblInd w:w="28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14:paraId="14242C4B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88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9406D1E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CF4EF86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37C9537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14:paraId="098D8D5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89F4C1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CD334A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2024090904002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C6E2CE5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胡杨</w:t>
                                  </w:r>
                                </w:p>
                              </w:tc>
                            </w:tr>
                            <w:tr w14:paraId="112C59DD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227AEF8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33329E1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2024090910005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7966E51C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丁宁</w:t>
                                  </w:r>
                                </w:p>
                              </w:tc>
                            </w:tr>
                            <w:tr w14:paraId="1047C20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006A3F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24CB190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2024090906027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02B3DF7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胡天琦</w:t>
                                  </w:r>
                                </w:p>
                              </w:tc>
                            </w:tr>
                            <w:tr w14:paraId="3DBF2F8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61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318B0B4E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1D93D468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2024090910008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398E80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华观中</w:t>
                                  </w:r>
                                </w:p>
                              </w:tc>
                            </w:tr>
                            <w:tr w14:paraId="12307B78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463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0A2CDA7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017B68B6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2024090910020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DEAD8CA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default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万飞翔</w:t>
                                  </w:r>
                                </w:p>
                              </w:tc>
                            </w:tr>
                            <w:tr w14:paraId="68C71F63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519" w:hRule="atLeast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4B71A2E5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5ACBDA3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</w:rPr>
                                    <w:t>2024090906006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  <w:vAlign w:val="center"/>
                                </w:tcPr>
                                <w:p w14:paraId="6A998664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hint="eastAsia" w:ascii="Times" w:hAnsi="Times" w:eastAsia="宋体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 w:ascii="Times" w:hAnsi="Times" w:cs="宋体"/>
                                      <w:color w:val="000000"/>
                                      <w:kern w:val="0"/>
                                      <w:lang w:val="en-US" w:eastAsia="zh-CN"/>
                                    </w:rPr>
                                    <w:t>李韦成</w:t>
                                  </w:r>
                                </w:p>
                              </w:tc>
                            </w:tr>
                          </w:tbl>
                          <w:p w14:paraId="36141F6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5" o:spid="_x0000_s1026" o:spt="1" style="position:absolute;left:0pt;margin-left:-5.25pt;margin-top:31.2pt;height:638.35pt;width:424.1pt;z-index:-251657216;mso-width-relative:page;mso-height-relative:page;" filled="f" stroked="t" coordsize="21600,21600" o:gfxdata="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LVhMsNoAAAALAQAADwAAAAAAAAABACAAAAAiAAAAZHJz&#10;L2Rvd25yZXYueG1sUEsBAhQAFAAAAAgAh07iQGq9egQ7AgAAVAQAAA4AAAAAAAAAAQAgAAAAKQEA&#10;AGRycy9lMm9Eb2MueG1sUEsFBgAAAAAGAAYAWQEAANYFAAAAAA==&#10;">
                <v:fill on="f" focussize="0,0"/>
                <v:stroke weight="2.5pt" color="#3471B0" miterlimit="8" joinstyle="miter"/>
                <v:imagedata o:title=""/>
                <o:lock v:ext="edit" aspectratio="f"/>
                <v:textbox>
                  <w:txbxContent>
                    <w:p w14:paraId="50A6ED0C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/>
                        </w:rPr>
                        <w:drawing>
                          <wp:inline distT="0" distB="0" distL="0" distR="0">
                            <wp:extent cx="1813560" cy="1371600"/>
                            <wp:effectExtent l="0" t="0" r="0" b="0"/>
                            <wp:docPr id="1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5C1AD2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899756F">
                      <w:pPr>
                        <w:jc w:val="center"/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hint="eastAsia" w:ascii="Times" w:hAnsi="Times" w:eastAsia="黑体"/>
                          <w:b/>
                          <w:sz w:val="56"/>
                          <w:szCs w:val="72"/>
                        </w:rPr>
                        <w:t>中期</w:t>
                      </w:r>
                      <w:r>
                        <w:rPr>
                          <w:rFonts w:ascii="Times" w:hAnsi="Times" w:eastAsia="黑体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30C646C9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进阶式挑战性综合项目 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I</w:t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I（数字动漫）</w:t>
                      </w:r>
                    </w:p>
                    <w:p w14:paraId="1130FA32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</w:rPr>
                        <w:t>运输车辆调度优化与仿真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B87A0F1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李贞昊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0C56069C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软件工程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243C3C4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hint="eastAsia" w:ascii="Times" w:hAnsi="Times"/>
                          <w:sz w:val="32"/>
                          <w:u w:val="single"/>
                          <w:lang w:val="en-US" w:eastAsia="zh-CN"/>
                        </w:rPr>
                        <w:t>第五学期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   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2F431AAB">
                      <w:pPr>
                        <w:spacing w:line="800" w:lineRule="exact"/>
                        <w:ind w:firstLine="470" w:firstLineChars="147"/>
                        <w:rPr>
                          <w:rFonts w:ascii="Times" w:hAnsi="Times"/>
                          <w:sz w:val="32"/>
                        </w:rPr>
                      </w:pPr>
                      <w:r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Style w:val="14"/>
                        <w:tblW w:w="7645" w:type="dxa"/>
                        <w:tblInd w:w="28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550"/>
                        <w:gridCol w:w="3260"/>
                        <w:gridCol w:w="2835"/>
                      </w:tblGrid>
                      <w:tr w14:paraId="14242C4B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88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9406D1E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CF4EF86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37C9537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14:paraId="098D8D5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89F4C1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1（组长）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CD334A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2024090904002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C6E2CE5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胡杨</w:t>
                            </w:r>
                          </w:p>
                        </w:tc>
                      </w:tr>
                      <w:tr w14:paraId="112C59DD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227AEF8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33329E1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2024090910005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7966E51C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丁宁</w:t>
                            </w:r>
                          </w:p>
                        </w:tc>
                      </w:tr>
                      <w:tr w14:paraId="1047C20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5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006A3F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24CB190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2024090906027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02B3DF7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胡天琦</w:t>
                            </w:r>
                          </w:p>
                        </w:tc>
                      </w:tr>
                      <w:tr w14:paraId="3DBF2F8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61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318B0B4E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1D93D468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2024090910008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398E80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华观中</w:t>
                            </w:r>
                          </w:p>
                        </w:tc>
                      </w:tr>
                      <w:tr w14:paraId="12307B78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463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0A2CDA7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017B68B6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2024090910020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DEAD8CA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default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万飞翔</w:t>
                            </w:r>
                          </w:p>
                        </w:tc>
                      </w:tr>
                      <w:tr w14:paraId="68C71F63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519" w:hRule="atLeast"/>
                        </w:trPr>
                        <w:tc>
                          <w:tcPr>
                            <w:tcW w:w="155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4B71A2E5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5ACBDA3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</w:rPr>
                              <w:t>2024090906006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  <w:vAlign w:val="center"/>
                          </w:tcPr>
                          <w:p w14:paraId="6A998664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hint="eastAsia" w:ascii="Times" w:hAnsi="Times" w:eastAsia="宋体" w:cs="宋体"/>
                                <w:color w:val="000000"/>
                                <w:kern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" w:hAnsi="Times" w:cs="宋体"/>
                                <w:color w:val="000000"/>
                                <w:kern w:val="0"/>
                                <w:lang w:val="en-US" w:eastAsia="zh-CN"/>
                              </w:rPr>
                              <w:t>李韦成</w:t>
                            </w:r>
                          </w:p>
                        </w:tc>
                      </w:tr>
                    </w:tbl>
                    <w:p w14:paraId="36141F6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7B61EBC">
      <w:pPr>
        <w:spacing w:before="240" w:after="300"/>
        <w:jc w:val="center"/>
      </w:pPr>
      <w:r>
        <w:rPr>
          <w:rFonts w:ascii="Times New Roman" w:hAnsi="Times New Roman" w:eastAsia="黑体"/>
          <w:b/>
          <w:bCs/>
          <w:sz w:val="32"/>
          <w:szCs w:val="32"/>
        </w:rPr>
        <w:t>目  录</w:t>
      </w:r>
    </w:p>
    <w:sdt>
      <w:sdtPr>
        <w:alias w:val="目录"/>
        <w:id w:val="147481316"/>
      </w:sdtPr>
      <w:sdtContent>
        <w:p w14:paraId="20F98409">
          <w:pPr>
            <w:pStyle w:val="12"/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  <w:rPr>
              <w:rFonts w:ascii="Calibri" w:hAnsi="Calibri" w:eastAsia="宋体" w:cs="Times New Roman"/>
              <w:smallCaps/>
              <w:sz w:val="22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6D22DE5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_Toc18267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第一章  综合设计的进展情况</w:t>
          </w:r>
          <w:r>
            <w:tab/>
          </w:r>
          <w:r>
            <w:fldChar w:fldCharType="begin"/>
          </w:r>
          <w:r>
            <w:instrText xml:space="preserve"> PAGEREF _Toc18267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D390E73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_Toc5283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1.1 针对工程问题的方案设计</w:t>
          </w:r>
          <w:r>
            <w:tab/>
          </w:r>
          <w:r>
            <w:fldChar w:fldCharType="begin"/>
          </w:r>
          <w:r>
            <w:instrText xml:space="preserve"> PAGEREF _Toc5283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F18C909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_Toc8798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1.2 针对工程问题的推理分析与具体实现</w:t>
          </w:r>
          <w:r>
            <w:tab/>
          </w:r>
          <w:r>
            <w:fldChar w:fldCharType="begin"/>
          </w:r>
          <w:r>
            <w:instrText xml:space="preserve"> PAGEREF _Toc8798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BE81DE2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_Toc32041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1.2.1 司机对象与概率化行为状态机</w:t>
          </w:r>
          <w:r>
            <w:tab/>
          </w:r>
          <w:r>
            <w:fldChar w:fldCharType="begin"/>
          </w:r>
          <w:r>
            <w:instrText xml:space="preserve"> PAGEREF _Toc32041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23B0832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_Toc29381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1.2.2 运输过程随机事件引擎与统一暂停机制</w:t>
          </w:r>
          <w:r>
            <w:tab/>
          </w:r>
          <w:r>
            <w:fldChar w:fldCharType="begin"/>
          </w:r>
          <w:r>
            <w:instrText xml:space="preserve"> PAGEREF _Toc29381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3FFFC5F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_Toc2602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1.2.3 全局多目标优化机制</w:t>
          </w:r>
          <w:r>
            <w:tab/>
          </w:r>
          <w:r>
            <w:fldChar w:fldCharType="begin"/>
          </w:r>
          <w:r>
            <w:instrText xml:space="preserve"> PAGEREF _Toc2602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F6274E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_Toc31934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1.2.4 优化目标的实时统计与匹配质量评价</w:t>
          </w:r>
          <w:r>
            <w:tab/>
          </w:r>
          <w:r>
            <w:fldChar w:fldCharType="begin"/>
          </w:r>
          <w:r>
            <w:instrText xml:space="preserve"> PAGEREF _Toc31934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413404"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_Toc22121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4"/>
            </w:rPr>
            <w:t>1.2.5 实验沙箱与确定性复现</w:t>
          </w:r>
          <w:r>
            <w:tab/>
          </w:r>
          <w:r>
            <w:fldChar w:fldCharType="begin"/>
          </w:r>
          <w:r>
            <w:instrText xml:space="preserve"> PAGEREF _Toc22121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26BE1C3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_Toc25124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1.3 知识技能学习情况</w:t>
          </w:r>
          <w:r>
            <w:tab/>
          </w:r>
          <w:r>
            <w:fldChar w:fldCharType="begin"/>
          </w:r>
          <w:r>
            <w:instrText xml:space="preserve"> PAGEREF _Toc25124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C0C63A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_Toc11757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第二章  存在问题与解决方案</w:t>
          </w:r>
          <w:r>
            <w:tab/>
          </w:r>
          <w:r>
            <w:fldChar w:fldCharType="begin"/>
          </w:r>
          <w:r>
            <w:instrText xml:space="preserve"> PAGEREF _Toc11757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47C9063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_Toc4629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2.1 存在的主要问题</w:t>
          </w:r>
          <w:r>
            <w:tab/>
          </w:r>
          <w:r>
            <w:fldChar w:fldCharType="begin"/>
          </w:r>
          <w:r>
            <w:instrText xml:space="preserve"> PAGEREF _Toc4629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F25F01F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_Toc4553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2.2 解决方案</w:t>
          </w:r>
          <w:r>
            <w:tab/>
          </w:r>
          <w:r>
            <w:fldChar w:fldCharType="begin"/>
          </w:r>
          <w:r>
            <w:instrText xml:space="preserve"> PAGEREF _Toc4553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45C702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_Toc17941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第三章  前期任务完成度与后续实施计划</w:t>
          </w:r>
          <w:r>
            <w:tab/>
          </w:r>
          <w:r>
            <w:fldChar w:fldCharType="begin"/>
          </w:r>
          <w:r>
            <w:instrText xml:space="preserve"> PAGEREF _Toc17941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4ED281F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_Toc10025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3.1 任务书要求完成度对照</w:t>
          </w:r>
          <w:r>
            <w:tab/>
          </w:r>
          <w:r>
            <w:fldChar w:fldCharType="begin"/>
          </w:r>
          <w:r>
            <w:instrText xml:space="preserve"> PAGEREF _Toc10025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77143C1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_Toc374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3.2 后续实施计划</w:t>
          </w:r>
          <w:r>
            <w:tab/>
          </w:r>
          <w:r>
            <w:fldChar w:fldCharType="begin"/>
          </w:r>
          <w:r>
            <w:instrText xml:space="preserve"> PAGEREF _Toc374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43D0DE3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_Toc21408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28"/>
            </w:rPr>
            <w:t>3.3 团队分工</w:t>
          </w:r>
          <w:r>
            <w:tab/>
          </w:r>
          <w:r>
            <w:fldChar w:fldCharType="begin"/>
          </w:r>
          <w:r>
            <w:instrText xml:space="preserve"> PAGEREF _Toc21408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6A787E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_Toc27874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第四章  AI工具利用情况与思考</w:t>
          </w:r>
          <w:r>
            <w:tab/>
          </w:r>
          <w:r>
            <w:fldChar w:fldCharType="begin"/>
          </w:r>
          <w:r>
            <w:instrText xml:space="preserve"> PAGEREF _Toc27874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0E265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_Toc6412 </w:instrText>
          </w:r>
          <w:r>
            <w:fldChar w:fldCharType="separate"/>
          </w:r>
          <w:r>
            <w:rPr>
              <w:rFonts w:ascii="Times New Roman" w:hAnsi="Times New Roman" w:eastAsia="黑体"/>
              <w:bCs/>
              <w:szCs w:val="32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_Toc6412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31FDF2A">
          <w:pPr>
            <w:widowControl w:val="0"/>
            <w:tabs>
              <w:tab w:val="left" w:pos="840"/>
              <w:tab w:val="right" w:leader="dot" w:pos="8494"/>
            </w:tabs>
            <w:spacing w:line="400" w:lineRule="exact"/>
            <w:jc w:val="both"/>
          </w:pPr>
          <w:r>
            <w:fldChar w:fldCharType="end"/>
          </w:r>
        </w:p>
      </w:sdtContent>
    </w:sdt>
    <w:p w14:paraId="363764CE">
      <w:pPr>
        <w:sectPr>
          <w:headerReference r:id="rId5" w:type="default"/>
          <w:footerReference r:id="rId6" w:type="default"/>
          <w:pgSz w:w="11906" w:h="16838"/>
          <w:pgMar w:top="1440" w:right="1800" w:bottom="1440" w:left="1800" w:header="708" w:footer="708" w:gutter="0"/>
          <w:pgNumType w:fmt="lowerRoman" w:start="1"/>
          <w:cols w:space="720" w:num="1"/>
          <w:docGrid w:linePitch="360" w:charSpace="0"/>
        </w:sectPr>
      </w:pPr>
    </w:p>
    <w:p w14:paraId="6818AB52">
      <w:pPr>
        <w:pStyle w:val="2"/>
        <w:pageBreakBefore/>
        <w:spacing w:before="240" w:after="360"/>
        <w:jc w:val="center"/>
      </w:pPr>
      <w:bookmarkStart w:id="0" w:name="_Toc18267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第一章  综合设计的进展情况</w:t>
      </w:r>
      <w:bookmarkEnd w:id="0"/>
    </w:p>
    <w:p w14:paraId="02205FD4">
      <w:pPr>
        <w:pStyle w:val="3"/>
        <w:spacing w:before="320" w:after="200"/>
      </w:pPr>
      <w:bookmarkStart w:id="1" w:name="_Toc5283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1.1 针对工程问题的方案设计</w:t>
      </w:r>
      <w:bookmarkEnd w:id="1"/>
    </w:p>
    <w:p w14:paraId="0392CA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本课题承接综合设计 II 阶段的成果——基于 Go + Gin + GORM 的调度后端、五维代价模型（A 直接成本、B 时效成本、C 效率与公平成本、D 平台资源成本、E 风险成本，经 F 综合加权合成）、模拟退火全局调度算法、高德地图路径规划驱动的物理仿真引擎，以及 Vue3 + ECharts 的可视化大屏。针对任务书提出的“优化仿真参数使其更贴近真实场景、实现多目标全局优化算法、实时统计优化目标”三项主要任务，本阶段我们完成了系统的总体架构重构，将原有“单一仿真进程”升级为“实验沙箱 + 受控实验”的四层架构（图 1-1）。</w:t>
      </w:r>
    </w:p>
    <w:p w14:paraId="28FECC5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四层职责划分如下。</w:t>
      </w:r>
      <w:r>
        <w:rPr>
          <w:rFonts w:ascii="Times New Roman" w:hAnsi="Times New Roman" w:eastAsia="宋体"/>
          <w:b/>
          <w:bCs/>
          <w:sz w:val="24"/>
          <w:szCs w:val="24"/>
        </w:rPr>
        <w:t>展示层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：Vue3 + Element Plus + ECharts + 高德地图，包含沙箱管理、实验配置（表单与 TOML 双向编辑）、地图大屏（可拉入数据覆盖层）、任务管理、实验结果与实验对比页面；</w:t>
      </w:r>
      <w:r>
        <w:rPr>
          <w:rFonts w:ascii="Times New Roman" w:hAnsi="Times New Roman" w:eastAsia="宋体"/>
          <w:b/>
          <w:bCs/>
          <w:sz w:val="24"/>
          <w:szCs w:val="24"/>
        </w:rPr>
        <w:t>服务层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：Go + Gin，REST API 与 WebSocket 双通道，登录鉴权中间件保护全部业务路由；</w:t>
      </w:r>
      <w:r>
        <w:rPr>
          <w:rFonts w:ascii="Times New Roman" w:hAnsi="Times New Roman" w:eastAsia="宋体"/>
          <w:b/>
          <w:bCs/>
          <w:sz w:val="24"/>
          <w:szCs w:val="24"/>
        </w:rPr>
        <w:t>仿真运行层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：ExperimentRuntime 以单实验串行、单线程确定性 tick 驱动，内含虚拟时钟、SA 调度、随机事件引擎、全局统计引擎与种子随机源；</w:t>
      </w:r>
      <w:r>
        <w:rPr>
          <w:rFonts w:ascii="Times New Roman" w:hAnsi="Times New Roman" w:eastAsia="宋体"/>
          <w:b/>
          <w:bCs/>
          <w:sz w:val="24"/>
          <w:szCs w:val="24"/>
        </w:rPr>
        <w:t>数据与生成层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：确定性数据生成器在仿真之外预生成订单流与事件脚本，MySQL 中沙箱元数据表与 9 张运行表按 experiment_id 实现实验实例级数据隔离。</w:t>
      </w:r>
    </w:p>
    <w:p w14:paraId="3C9F5C2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架构重构遵循三条设计原则。</w:t>
      </w:r>
      <w:r>
        <w:rPr>
          <w:rFonts w:ascii="Times New Roman" w:hAnsi="Times New Roman" w:eastAsia="宋体"/>
          <w:b/>
          <w:bCs/>
          <w:sz w:val="24"/>
          <w:szCs w:val="24"/>
        </w:rPr>
        <w:t>可复现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：一切随机性收敛到单一种子 RNG，同种子同参数必得到逐位一致的结果；</w:t>
      </w:r>
      <w:r>
        <w:rPr>
          <w:rFonts w:ascii="Times New Roman" w:hAnsi="Times New Roman" w:eastAsia="宋体"/>
          <w:b/>
          <w:bCs/>
          <w:sz w:val="24"/>
          <w:szCs w:val="24"/>
        </w:rPr>
        <w:t>可观测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：八维指标体系（M/U/T/A/C/R/F/G）对调度质量、运力效率、时效、算法性能、成本、可靠性、公平性、碳排做实时统计；</w:t>
      </w:r>
      <w:r>
        <w:rPr>
          <w:rFonts w:ascii="Times New Roman" w:hAnsi="Times New Roman" w:eastAsia="宋体"/>
          <w:b/>
          <w:bCs/>
          <w:sz w:val="24"/>
          <w:szCs w:val="24"/>
        </w:rPr>
        <w:t>可扩展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：事件概率、司机行为参数、经济与交通环境全部进入配置或双层 TOML，新增事件类型不需改动调度与统计代码。</w:t>
      </w:r>
    </w:p>
    <w:p w14:paraId="29AEDC85">
      <w:pPr>
        <w:spacing w:before="160" w:after="60"/>
        <w:jc w:val="center"/>
      </w:pPr>
      <w:r>
        <w:drawing>
          <wp:inline distT="0" distB="0" distL="0" distR="0">
            <wp:extent cx="5143500" cy="31527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148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1-1  系统总体架构（四层）</w:t>
      </w:r>
    </w:p>
    <w:p w14:paraId="21E0FFC1">
      <w:pPr>
        <w:pStyle w:val="3"/>
        <w:spacing w:before="320" w:after="200"/>
      </w:pPr>
      <w:bookmarkStart w:id="2" w:name="_Toc8798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1.2 针对工程问题的推理分析与具体实现</w:t>
      </w:r>
      <w:bookmarkEnd w:id="2"/>
    </w:p>
    <w:p w14:paraId="773FE52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在明确总体架构后，本节按“司机行为真实化 → 运输过程随机事件 → 全局多目标优化 → 实时统计评价 → 实验可复现”的顺序，说明关键模块的推理过程与代码实现。</w:t>
      </w:r>
    </w:p>
    <w:p w14:paraId="7E970BC8">
      <w:pPr>
        <w:pStyle w:val="4"/>
        <w:spacing w:before="240" w:after="160"/>
      </w:pPr>
      <w:bookmarkStart w:id="3" w:name="_Toc32041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1.2.1 司机对象与概率化行为状态机</w:t>
      </w:r>
      <w:bookmarkEnd w:id="3"/>
    </w:p>
    <w:p w14:paraId="59C5934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真实货运行业有两个经验事实：其一，司机对距离远、价格不划算的订单存在拒单行为，且驾驶经验越丰富拒单率与事故率越低；其二，法规要求连续驾驶 4 小时须休息不少于 20 分钟。据此，系统建立一车一司机的司机对象（driver 表：姓名、电话、驾驶证号、驾驶等级、疲劳累计、拒单计数、绑定车辆），驾驶等级（2～5 级）进入概率修正。</w:t>
      </w:r>
    </w:p>
    <w:p w14:paraId="1A078FE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行为均以数学概率为基准：拒单按 p = 0.06 × 等级修正因子（等级从低到高对应 1.4→0.7）逐次判定，同一运单最多被拒 2 次，超过后强制接单，防止“订单永远无人接”的死循环；疲劳按连续驾驶小时数累计，达 4h 触发 20min 强制休息。拒单不是简单丢弃订单，而是一套完整回退链路：删除 Planned 任务 → 释放车辆预占载重 → 运单回退 Sleeping → 下一轮调度重新进入分配池 → 车辆状态由 Ready 回退为 Free。这一设计复用了既有的重派机制，使拒单事件对调度系统表现为“可消化的扰动”而非异常。</w:t>
      </w:r>
    </w:p>
    <w:p w14:paraId="7A6AAB33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1-1  司机拒单概率判定（random_event.go 节选）</w:t>
      </w:r>
    </w:p>
    <w:p w14:paraId="2E2D63C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发车前判定：司机有概率拒绝接单（等级修正 + 同单上限防死循环）</w:t>
      </w:r>
    </w:p>
    <w:p w14:paraId="15F0930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refuseCount, _ := repository.CountRefuseByShipment(shipment.Id)</w:t>
      </w:r>
    </w:p>
    <w:p w14:paraId="05689B2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refuseCount &gt;= int64(cfg.RefuseMaxPerShipment) {</w:t>
      </w:r>
    </w:p>
    <w:p w14:paraId="474E28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同一运单被拒超过上限后强制接单</w:t>
      </w:r>
    </w:p>
    <w:p w14:paraId="5878FEC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6981147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rt.Draw() &gt;= cfg.DriverRefuseProb*levelFactorOf(cfg, driver.Level) {</w:t>
      </w:r>
    </w:p>
    <w:p w14:paraId="0F5F0B0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false // 未触发拒单</w:t>
      </w:r>
    </w:p>
    <w:p w14:paraId="5DFA744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04CDA4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触发拒单：删除 Planned 任务、释放车辆预占载重、运单回退 Sleeping 等待重派</w:t>
      </w:r>
    </w:p>
    <w:p w14:paraId="753CE98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指标联动方面，拒单拉长订单响应长尾（T2 P95）、降低一次接受率（M 系），休息降低在线运力（U3）——司机行为由此成为被观测、被统计的一等公民，而非脚本化的背景噪声。</w:t>
      </w:r>
    </w:p>
    <w:p w14:paraId="682CE590">
      <w:pPr>
        <w:pStyle w:val="4"/>
        <w:spacing w:before="240" w:after="160"/>
      </w:pPr>
      <w:bookmarkStart w:id="4" w:name="_Toc29381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1.2.2 运输过程随机事件引擎与统一暂停机制</w:t>
      </w:r>
      <w:bookmarkEnd w:id="4"/>
    </w:p>
    <w:p w14:paraId="1E866A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在司机行为之外，运输过程引入两类随机事件：极端天气（p=0.0005/tick，暂停 0.5～2h，模拟暴雨封路与限行）与车祸（p=0.0002/tick × 等级因子，车辆进入新增的“维修中”状态 1～6h，在途任务挂起）。至此系统共有四类随机事件（拒单、疲劳休息、极端天气、车祸），概率与时长区间全部可配置。</w:t>
      </w:r>
    </w:p>
    <w:p w14:paraId="3A5753B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设计上的关键取舍是</w:t>
      </w:r>
      <w:r>
        <w:rPr>
          <w:rFonts w:ascii="Times New Roman" w:hAnsi="Times New Roman" w:eastAsia="宋体"/>
          <w:b/>
          <w:bCs/>
          <w:sz w:val="24"/>
          <w:szCs w:val="24"/>
        </w:rPr>
        <w:t>统一暂停机制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：三类“时间冻结”（疲劳休息/天气/维修）共用一个检查点，moveVehicle 每 tick 开头以虚拟时间比较 pause_until，未到期则本 tick 位置冻结、速度为 0，到期自动恢复。这把“事件的影响”统一抽象为“可用运力的时间窗收缩”，对调度器与统计引擎完全透明，也使暂停行为可在前端地图上被直观验证（车辆冻结、速度 0.00）。</w:t>
      </w:r>
    </w:p>
    <w:p w14:paraId="5194DA7A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1-2  统一暂停判定（vehicle.go 节选）</w:t>
      </w:r>
    </w:p>
    <w:p w14:paraId="316BB50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moveVehicle 开头：随机事件暂停窗口内（休息/极端天气）不推进，虚拟时间比较</w:t>
      </w:r>
    </w:p>
    <w:p w14:paraId="385CEC17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now := rt.Clock.Now()</w:t>
      </w:r>
    </w:p>
    <w:p w14:paraId="5FD138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isVehiclePaused(latestVehicle, now) {</w:t>
      </w:r>
    </w:p>
    <w:p w14:paraId="37CC8FA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// pause_until 未到期：车辆位置冻结、速度为 0</w:t>
      </w:r>
    </w:p>
    <w:p w14:paraId="03EAFE4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75C4BDD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天气/车祸事件由预生成脚本驱动（consumeDueEvents），此处不再现场摇号</w:t>
      </w:r>
    </w:p>
    <w:p w14:paraId="5E20D46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每次事件写入 random_event 表（类型、车辆、司机、运单、严重度、时长、描述），前端事件流按车牌实时展示（类型着色、未解决空心），并进入 R 系可靠性指标：MTBF（平均无故障时间）、MTTR（平均修复时长）与可用性 = 1 − 停机时长 / (车队规模 × 观测窗口)，观测窗口为实验生命周期（虚拟时钟起点至今）。图 1-2 汇总了司机行为状态、运输随机事件状态机与统一暂停机制的全部参数。</w:t>
      </w:r>
    </w:p>
    <w:p w14:paraId="53B76BC5">
      <w:pPr>
        <w:spacing w:before="160" w:after="60"/>
        <w:jc w:val="center"/>
      </w:pPr>
      <w:r>
        <w:drawing>
          <wp:inline distT="0" distB="0" distL="0" distR="0">
            <wp:extent cx="5143500" cy="33242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219B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1-2  司机行为状态与运输随机事件状态机（含概率参数）</w:t>
      </w:r>
    </w:p>
    <w:p w14:paraId="2959476F">
      <w:pPr>
        <w:pStyle w:val="4"/>
        <w:spacing w:before="240" w:after="160"/>
      </w:pPr>
      <w:bookmarkStart w:id="5" w:name="_Toc2602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1.2.3 全局多目标优化机制</w:t>
      </w:r>
      <w:bookmarkEnd w:id="5"/>
    </w:p>
    <w:p w14:paraId="02E769C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第一种多目标机制是承接 II 阶段的</w:t>
      </w:r>
      <w:r>
        <w:rPr>
          <w:rFonts w:ascii="Times New Roman" w:hAnsi="Times New Roman" w:eastAsia="宋体"/>
          <w:b/>
          <w:bCs/>
          <w:sz w:val="24"/>
          <w:szCs w:val="24"/>
        </w:rPr>
        <w:t>加权标量化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：将调度决策抽象为 Cost = λ1·A + λ2·B + λ3·C + λ4·D + λ5·E 的单一可排序分数，代价项与任务书五类优化目标一一对应：车辆总体等待时间（A 的等待项与 B 的货物加权等待）、空载里程（A 的空驶项与 C 的空驶率）、车辆利用率（C 的等待运输比与 D 的运力缺口惩罚）、总运输达成吨位（D 的运力结构惩罚与吞吐统计）、碳排放（G 系）。SA 算法以 Metropolis 准则接受劣解跳出局部最优，通过 Swap/Move 邻域扰动迭代搜索全局低成本指派。</w:t>
      </w:r>
    </w:p>
    <w:p w14:paraId="14A3D05F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1-3  模拟退火 Metropolis 接受准则（sa_scheduler.go 节选）</w:t>
      </w:r>
    </w:p>
    <w:p w14:paraId="2DB0FD6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邻域扰动 + Metropolis 接受准则：以概率接受劣解，跳出局部最优</w:t>
      </w:r>
    </w:p>
    <w:p w14:paraId="676AB7F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_, nextAssigned := generateSANeighbor(rt, currentAssigned, len(vehicles))</w:t>
      </w:r>
    </w:p>
    <w:p w14:paraId="64F2E4A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nextCost := evaluateStateCost(nextAssigned, shipments, vehicles, stats, ...)</w:t>
      </w:r>
    </w:p>
    <w:p w14:paraId="5A286AD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if nextCost &lt; currentCost || math.Exp((currentCost-nextCost)/temp) &gt; rt.Draw() {</w:t>
      </w:r>
    </w:p>
    <w:p w14:paraId="4F56BC0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currentAssigned = nextAssigned</w:t>
      </w:r>
    </w:p>
    <w:p w14:paraId="0D661C3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currentCost = nextCost</w:t>
      </w:r>
    </w:p>
    <w:p w14:paraId="5AAD2800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if currentCost &lt; bestCost {</w:t>
      </w:r>
    </w:p>
    <w:p w14:paraId="7D94FA1C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copy(bestAssigned, currentAssigned)</w:t>
      </w:r>
    </w:p>
    <w:p w14:paraId="63D5B03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bestCost = currentCost</w:t>
      </w:r>
    </w:p>
    <w:p w14:paraId="5B1795B8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}</w:t>
      </w:r>
    </w:p>
    <w:p w14:paraId="01B31C64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11C1DBE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真实化方面，沙箱世界规则向系统注入经济环境：A 项追加货币化里程成本（油价 × 百公里油耗 + 每公里过路费 + 人力成本），使成本从抽象分数落到可解释的货币量纲；交通环境提供分时段速度系数（高峰降速），影响每 tick 推进的里程与疲劳累计，也为后续拥堵事件提供了机制雏形。</w:t>
      </w:r>
    </w:p>
    <w:p w14:paraId="04F958B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碳排放方面，G1/G2 按车型排放因子（空驶/载重分列）乘累计里程计算总碳排与吨公里碳排强度。当前碳排以软约束形式进入实验参数（G2_carbon_max 上限），主要在结果层计量与呈现，</w:t>
      </w:r>
      <w:r>
        <w:rPr>
          <w:rFonts w:ascii="Times New Roman" w:hAnsi="Times New Roman" w:eastAsia="宋体"/>
          <w:b/>
          <w:bCs/>
          <w:sz w:val="24"/>
          <w:szCs w:val="24"/>
        </w:rPr>
        <w:t>约束式惩罚接入代价函数列入后续计划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（见 2.2 节）。</w:t>
      </w:r>
    </w:p>
    <w:p w14:paraId="5763BC1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1-4  碳排放计算（stats.go 节选）</w:t>
      </w:r>
    </w:p>
    <w:p w14:paraId="5B5FE293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G1/G2：按车型排放因子 × 空/重载里程累计总碳排，吨公里口径核算强度</w:t>
      </w:r>
    </w:p>
    <w:p w14:paraId="554A73F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_, v := range vehicles {</w:t>
      </w:r>
    </w:p>
    <w:p w14:paraId="429BD18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fEmpty, fLoad := defaultEmissionFactors(v.Tybe)</w:t>
      </w:r>
    </w:p>
    <w:p w14:paraId="529ADFC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totalCarbon += v.EmptyMileage*fEmpty + v.Distance*fLoad</w:t>
      </w:r>
    </w:p>
    <w:p w14:paraId="4300DCD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4F6937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s.CarbonStats.CarbonPerTonKm = totalCarbon / s.TransportWorkStats.TotalTonDistance</w:t>
      </w:r>
    </w:p>
    <w:p w14:paraId="5B3BA9DF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第二种多目标机制是</w:t>
      </w:r>
      <w:r>
        <w:rPr>
          <w:rFonts w:ascii="Times New Roman" w:hAnsi="Times New Roman" w:eastAsia="宋体"/>
          <w:b/>
          <w:bCs/>
          <w:sz w:val="24"/>
          <w:szCs w:val="24"/>
        </w:rPr>
        <w:t>主目标/软约束分层框架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：不追求单一分数，而是将优化对象显式分层为 4 项主目标（C2 单位成本↓、U2 载重利用率↑、U4 空驶率↓、T2 响应 P95↓）与 2 项软约束（F1 负载基尼≤0.4、G2 吨公里碳排），实验结果页按此六项做主指标对比；配合同种子跨参数批次的对比实验（参数 TOML 分栏 Diff + 结果对比页），等价于对多目标权衡的受控敏感性实验（图 1-3）。帕累托类机制（ε-约束/NSGA-II）尚未实现，作为“优”档的增强项列入计划。</w:t>
      </w:r>
    </w:p>
    <w:p w14:paraId="283E4838">
      <w:pPr>
        <w:spacing w:before="160" w:after="60"/>
        <w:jc w:val="center"/>
      </w:pPr>
      <w:r>
        <w:drawing>
          <wp:inline distT="0" distB="0" distL="0" distR="0">
            <wp:extent cx="5143500" cy="29813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4B5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1-3  多目标优化对象与八维指标体系支撑关系</w:t>
      </w:r>
    </w:p>
    <w:p w14:paraId="0E216277">
      <w:pPr>
        <w:pStyle w:val="4"/>
        <w:spacing w:before="240" w:after="160"/>
      </w:pPr>
      <w:bookmarkStart w:id="6" w:name="_Toc31934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1.2.4 优化目标的实时统计与匹配质量评价</w:t>
      </w:r>
      <w:bookmarkEnd w:id="6"/>
    </w:p>
    <w:p w14:paraId="388AE10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实时统计链路为：CalculateGlobalStats（每虚拟 tick 全量计算）→ BuildRealtimeDashboard（汇总为 RealtimeSummary）→ WebSocket /ws/stats 每 3 真实秒推送（前端 15s 轮询兜底）；每 6 虚拟 tick（默认 1 虚拟分钟）将十七项核心指标写入 metric_snapshot 表（按 experiment_id 隔离），支撑实验结束后的收敛曲线与分位数分析。任务书“实现对优化目标的实时统计”以此完成。前端层面，运行期指标以地图数据覆盖层呈现（运行健康、运力效率趋势、Top3 最值榜、车辆状态构成、调配效率五维雷达、最终优化指标值与随机事件流），实验结束后结果页按 M/U/T/A/C/R/G + 事件积压八组卡片呈现终态，分别如图 1-4、图 1-5 所示。</w:t>
      </w:r>
    </w:p>
    <w:p w14:paraId="5A00D329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1" name="图片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图片 900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D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1-4  系统主界面：地图大屏与运行期数据覆盖层</w:t>
      </w:r>
    </w:p>
    <w:p w14:paraId="5A00D32A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2" name="图片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图片 900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E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1-5  实验结果页：六项主目标卡片、SA 收敛曲线与八组终态指标</w:t>
      </w:r>
    </w:p>
    <w:p w14:paraId="4AD177C0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全局优化算法的质量不能只看成本曲线自说自话。我们为调度质量建立了基于</w:t>
      </w:r>
      <w:r>
        <w:rPr>
          <w:rFonts w:ascii="Times New Roman" w:hAnsi="Times New Roman" w:eastAsia="宋体"/>
          <w:b/>
          <w:bCs/>
          <w:sz w:val="24"/>
          <w:szCs w:val="24"/>
        </w:rPr>
        <w:t>条件最优参考答案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的评价体系：固定一批 SA 派单的其余指派不变，将某一运单改派给任一候选车后重新评估整批成本，取最低者为该单的条件最优车（ground truth）。相比全局精确枚举（20 辆车队组合爆炸），条件枚举复杂度仅 O(运单数 × 车辆数)，任意批次规模均可实时完成。据此统计 M1 精确率（选中恰为条件最优）、M2 召回率（分母含未派单运单）、M3 F1、M4 MRR（选中车排名倒数均值），并把每单 Top8 候选排名回填匹配日志供离线复盘（图 1-6）。</w:t>
      </w:r>
    </w:p>
    <w:p w14:paraId="29D4279B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1-5  条件最优参考答案评估（matching_quality.go 节选）</w:t>
      </w:r>
    </w:p>
    <w:p w14:paraId="5D81BE4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固定其余指派，逐单改派各候选车评估整批成本，取最低者为 ground truth</w:t>
      </w:r>
    </w:p>
    <w:p w14:paraId="7C213A5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copy(variant, saIdx)</w:t>
      </w:r>
    </w:p>
    <w:p w14:paraId="74AEA552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for vi := range vehicles {</w:t>
      </w:r>
    </w:p>
    <w:p w14:paraId="39DFF661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variant[i] = vi</w:t>
      </w:r>
    </w:p>
    <w:p w14:paraId="7A6C912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cands = append(cands, qualityCand{vi,</w:t>
      </w:r>
    </w:p>
    <w:p w14:paraId="744A622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    evaluateStateCost(variant, shipments, vehicles, stats, ...)})</w:t>
      </w:r>
    </w:p>
    <w:p w14:paraId="5257C89A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40D02BFE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sort.Slice(cands, func(a, b int) bool { return cands[a].cost &lt; cands[b].cost })</w:t>
      </w:r>
    </w:p>
    <w:p w14:paraId="6524EB16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排名首位即条件最优车；SA 实际选中车的位次进入 M1/M4 统计</w:t>
      </w:r>
    </w:p>
    <w:p w14:paraId="5B25B77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在算法性能维度，同批次重放“贪心首可行”基线，C1 = (基线成本 − SA 成本)/基线成本 × 100%，直接量化 SA 相对朴素策略的改善幅度；A2 记录每批求解耗时（批数/均值/峰值）；A3 在小规模（≤4 单 ≤6 车）时做精确枚举 gap 估算。可靠性维度（R1-R3 及事件计数）已在 1.2.2 节说明。至此，调度质量的评价形成“在线指标实时可见 + 离线日志可复盘”的双层证据链。</w:t>
      </w:r>
    </w:p>
    <w:p w14:paraId="09BACAAC">
      <w:pPr>
        <w:spacing w:before="160" w:after="60"/>
        <w:jc w:val="center"/>
      </w:pPr>
      <w:r>
        <w:drawing>
          <wp:inline distT="0" distB="0" distL="0" distR="0">
            <wp:extent cx="5143500" cy="254317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CD6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1-6  基于条件最优参考答案的匹配质量评价闭环</w:t>
      </w:r>
    </w:p>
    <w:p w14:paraId="760FF9AD">
      <w:pPr>
        <w:pStyle w:val="4"/>
        <w:spacing w:before="240" w:after="160"/>
      </w:pPr>
      <w:bookmarkStart w:id="7" w:name="_Toc22121"/>
      <w:r>
        <w:rPr>
          <w:rFonts w:ascii="Times New Roman" w:hAnsi="Times New Roman" w:eastAsia="黑体"/>
          <w:b/>
          <w:bCs/>
          <w:color w:val="000000"/>
          <w:sz w:val="24"/>
          <w:szCs w:val="24"/>
        </w:rPr>
        <w:t>1.2.5 实验沙箱与确定性复现</w:t>
      </w:r>
      <w:bookmarkEnd w:id="7"/>
    </w:p>
    <w:p w14:paraId="2103D14E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仿真实验若不可复现，则一切“算法 A 优于算法 B”的结论都不成立。本阶段我们把“实验”本身作为设计对象，建立四级模型：</w:t>
      </w:r>
      <w:r>
        <w:rPr>
          <w:rFonts w:ascii="Times New Roman" w:hAnsi="Times New Roman" w:eastAsia="宋体"/>
          <w:b/>
          <w:bCs/>
          <w:sz w:val="24"/>
          <w:szCs w:val="24"/>
        </w:rPr>
        <w:t>User（研究者）→ Sandbox（世界设定：POI/车队/货类白名单）→ ExperimentScheme（参数模板）→ Experiment（批次：参数快照 + 种子 + 结果）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，参数采用双层 TOML（沙箱世界规则 / 实验参数）描述（图 1-7）。</w:t>
      </w:r>
    </w:p>
    <w:p w14:paraId="60309DA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三件事保证严格复现。其一，虚拟时钟：仿真时间 = 起点 + tick 数 × 步长，与真实时钟解耦，倍速只改变真实世界的 tick 触发频率；其二，单线程确定性 tick：主循环每 tick 按固定顺序执行“释放订单→SA 派单→消费事件脚本→恢复维修/休息→移动→快照”，全部随机性来自单一种子 RNG，SA 的随机邻域、司机等级、事件触发同源；其三，确定性数据生成器：在仿真系统之外按“世界规则 + 实验参数 + 种子”预生成订单流（泊松/均匀到达）与随机事件脚本，同种子同参数输出逐字节一致（单测断言），并以 DataGeneratorVersion（v2）防止旧种子误导入。</w:t>
      </w:r>
    </w:p>
    <w:p w14:paraId="1426EFA1">
      <w:pPr>
        <w:spacing w:before="160" w:after="8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代码 1-6  虚拟时钟（virtual_clock.go 节选）</w:t>
      </w:r>
    </w:p>
    <w:p w14:paraId="52C68BBB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// 虚拟时间 = 起点 + tick 数 × 步长；倍速只改变真实世界的 tick 触发频率</w:t>
      </w:r>
    </w:p>
    <w:p w14:paraId="128E0F4D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func (c *VirtualClock) Now() time.Time {</w:t>
      </w:r>
    </w:p>
    <w:p w14:paraId="5C3B58CF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 xml:space="preserve">    return c.start.Add(time.Duration(c.tick.Load()*c.tickSeconds) * time.Second)</w:t>
      </w:r>
    </w:p>
    <w:p w14:paraId="47FF7B69">
      <w:pPr>
        <w:shd w:val="clear" w:fill="F2F2EC"/>
        <w:spacing w:line="260" w:lineRule="auto"/>
        <w:ind w:left="420" w:right="420"/>
      </w:pPr>
      <w:r>
        <w:rPr>
          <w:rFonts w:ascii="Consolas" w:hAnsi="Consolas" w:eastAsia="宋体"/>
          <w:sz w:val="19"/>
          <w:szCs w:val="19"/>
        </w:rPr>
        <w:t>}</w:t>
      </w:r>
    </w:p>
    <w:p w14:paraId="2F53AA2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复现性已得到实证：同种子两次完整实验的调度总成本逐位一致（35025.80213604554）。工程配套上，9 张运行表增加 experiment_id 维度列（0=沙箱模板态、&gt;0=实验实例）实现数据隔离；实验启动时从车队模板实例化专属车辆与司机；登录鉴权与内存 token 保护全部业务路由与 WebSocket。测试环境方面，task 包测试强制读独立的 config-test.yml 测试库，解决了误伤生产数据库的后顾之忧；生成器与纯函数模块均有单元测试覆盖。</w:t>
      </w:r>
    </w:p>
    <w:p w14:paraId="13FBB80E">
      <w:pPr>
        <w:spacing w:before="160" w:after="60"/>
        <w:jc w:val="center"/>
      </w:pPr>
      <w:r>
        <w:drawing>
          <wp:inline distT="0" distB="0" distL="0" distR="0">
            <wp:extent cx="5143500" cy="2724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B3A4">
      <w:pPr>
        <w:spacing w:after="240"/>
        <w:jc w:val="center"/>
        <w:rPr>
          <w:rFonts w:ascii="Times New Roman" w:hAnsi="Times New Roman" w:eastAsia="黑体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黑体"/>
          <w:b/>
          <w:bCs/>
          <w:sz w:val="21"/>
          <w:szCs w:val="21"/>
        </w:rPr>
        <w:t>图 1-7  实验沙箱流程与复现机制</w:t>
      </w:r>
    </w:p>
    <w:p w14:paraId="5A00D3F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沙箱管理界面与实验参数配置界面分别如图 1-8、图 1-9 所示：前者以世界设定卡片呈现各沙箱（基础设施与世界规则）及其下挂的实验方案与批次，演示沙箱内置 1146 个成都 POI 与 20 辆川A车队模板；后者提供表单与 TOML 高级编辑双向配置，涵盖随机种子、虚拟时长、时间加速比、车队规模、日均订单量与 SA 超参，并内嵌“相同种子 + 相同参数结果可复现”的口径提示。</w:t>
      </w:r>
    </w:p>
    <w:p w14:paraId="5A00D32B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3" name="图片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图片 900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8F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1-8  沙箱管理界面：世界设定卡片与实验入口</w:t>
      </w:r>
    </w:p>
    <w:p w14:paraId="5A00D32C">
      <w:pPr>
        <w:spacing w:before="160" w:after="60"/>
        <w:jc w:val="center"/>
      </w:pPr>
      <w:r>
        <w:drawing>
          <wp:inline distT="0" distB="0" distL="0" distR="0">
            <wp:extent cx="5143500" cy="3286125"/>
            <wp:effectExtent l="0" t="0" r="0" b="0"/>
            <wp:docPr id="9004" name="图片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图片 900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9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1-9  实验参数配置界面：表单与 TOML 双向编辑</w:t>
      </w:r>
    </w:p>
    <w:p w14:paraId="5A00D3F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在复现保证之上，</w:t>
      </w:r>
      <w:r>
        <w:rPr>
          <w:rFonts w:ascii="Times New Roman" w:hAnsi="Times New Roman" w:eastAsia="宋体"/>
          <w:b/>
          <w:bCs w:val="0"/>
          <w:sz w:val="24"/>
          <w:szCs w:val="24"/>
        </w:rPr>
        <w:t>实验对比界面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（图 1-10）支持同沙箱实验的横向对比与跨沙箱追加对比：主目标雷达按“越大越优”归一化口径折算后直观呈现多批次权衡，关键指标柱状对比与结果明细辅助定位参数差异带来的影响，为多目标权衡提供受控比较的平台。</w:t>
      </w:r>
    </w:p>
    <w:p w14:paraId="5A00D32D">
      <w:pPr>
        <w:spacing w:before="160" w:after="60"/>
        <w:jc w:val="center"/>
      </w:pPr>
      <w:r>
        <w:drawing>
          <wp:inline distT="0" distB="0" distL="0" distR="0">
            <wp:extent cx="5143500" cy="3257550"/>
            <wp:effectExtent l="0" t="0" r="0" b="0"/>
            <wp:docPr id="9005" name="图片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图片 900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D391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1-10  实验对比界面：主目标雷达与关键指标对比</w:t>
      </w:r>
    </w:p>
    <w:p w14:paraId="27F79434">
      <w:pPr>
        <w:pStyle w:val="3"/>
        <w:spacing w:before="320" w:after="200"/>
      </w:pPr>
      <w:bookmarkStart w:id="8" w:name="_Toc25124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1.3 知识技能学习情况</w:t>
      </w:r>
      <w:bookmarkEnd w:id="8"/>
    </w:p>
    <w:p w14:paraId="474D896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在本阶段开发中，团队成员在工程实践上获得了显著提升：</w:t>
      </w:r>
      <w:r>
        <w:rPr>
          <w:rFonts w:ascii="Times New Roman" w:hAnsi="Times New Roman" w:eastAsia="宋体"/>
          <w:b/>
          <w:bCs/>
          <w:sz w:val="24"/>
          <w:szCs w:val="24"/>
        </w:rPr>
        <w:t>1. 确定性系统设计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：理解了“可复现是仿真实验的生命线”，掌握 RNG 消费序控制、虚拟时钟与单线程 tick 的组合技术；</w:t>
      </w:r>
      <w:r>
        <w:rPr>
          <w:rFonts w:ascii="Times New Roman" w:hAnsi="Times New Roman" w:eastAsia="宋体"/>
          <w:b/>
          <w:bCs/>
          <w:sz w:val="24"/>
          <w:szCs w:val="24"/>
        </w:rPr>
        <w:t>2. 测试驱动开发与测试环境构造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：独立测试库隔离、纯函数桩运行时、字节级一致性断言；</w:t>
      </w:r>
      <w:r>
        <w:rPr>
          <w:rFonts w:ascii="Times New Roman" w:hAnsi="Times New Roman" w:eastAsia="宋体"/>
          <w:b/>
          <w:bCs/>
          <w:sz w:val="24"/>
          <w:szCs w:val="24"/>
        </w:rPr>
        <w:t>3. 概率建模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：泊松订单流、逐 tick 伯努利事件、等级修正因子的工程化落地；</w:t>
      </w:r>
      <w:r>
        <w:rPr>
          <w:rFonts w:ascii="Times New Roman" w:hAnsi="Times New Roman" w:eastAsia="宋体"/>
          <w:b/>
          <w:bCs/>
          <w:sz w:val="24"/>
          <w:szCs w:val="24"/>
        </w:rPr>
        <w:t>4. 多目标优化理论向工程的转化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：标量化、主/软约束分层，并将检索评价的 P/R/F1/MRR 思想迁移到调度质量评价；</w:t>
      </w:r>
      <w:r>
        <w:rPr>
          <w:rFonts w:ascii="Times New Roman" w:hAnsi="Times New Roman" w:eastAsia="宋体"/>
          <w:b/>
          <w:bCs/>
          <w:sz w:val="24"/>
          <w:szCs w:val="24"/>
        </w:rPr>
        <w:t>5. 前端工程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：WebSocket 实时推送、覆盖层交互动画、自实现 LCS 行级分栏 Diff；</w:t>
      </w:r>
      <w:r>
        <w:rPr>
          <w:rFonts w:ascii="Times New Roman" w:hAnsi="Times New Roman" w:eastAsia="宋体"/>
          <w:b/>
          <w:bCs/>
          <w:sz w:val="24"/>
          <w:szCs w:val="24"/>
        </w:rPr>
        <w:t>6. 数据建模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：维度列隔离、参数快照、种子导入导出的可重放实验设计。</w:t>
      </w:r>
    </w:p>
    <w:p w14:paraId="48948F9A">
      <w:pPr>
        <w:pStyle w:val="2"/>
        <w:pageBreakBefore/>
        <w:spacing w:before="240" w:after="360"/>
        <w:jc w:val="center"/>
      </w:pPr>
      <w:bookmarkStart w:id="9" w:name="_Toc11757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第二章  存在问题与解决方案</w:t>
      </w:r>
      <w:bookmarkEnd w:id="9"/>
    </w:p>
    <w:p w14:paraId="583B1494">
      <w:pPr>
        <w:pStyle w:val="3"/>
        <w:spacing w:before="320" w:after="200"/>
      </w:pPr>
      <w:bookmarkStart w:id="10" w:name="_Toc4629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2.1 存在的主要问题</w:t>
      </w:r>
      <w:bookmarkEnd w:id="10"/>
    </w:p>
    <w:p w14:paraId="60CDC83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（1）货物材料需求发生链条尚未实现。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任务书 1.1 要求实现货物材料加工场景的吨位/方量变化趋势与至少一条需求发生链条（如“原木—木材—板材—家具”）。当前订单流为各货类独立的泊松到达，货类之间没有上下游传导关系，“家具厂的订单会拉动板材厂”这类供应链因果尚未建模。这是当前与任务书要求差距最明确的一项。</w:t>
      </w:r>
    </w:p>
    <w:p w14:paraId="32E95F6C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（2）事件与状态数量距“优”档有缺口。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现有司机行为状态 3 种（可用、拒单、休息中）加维修联动，随机事件 4 类（拒单、疲劳休息、极端天气、车祸）。任务书评价标准“优”档要求司机行为状态 5 种以上、随机事件 5 种以上，还差 1～2 类（缺货、货损、交通拥堵等）。</w:t>
      </w:r>
    </w:p>
    <w:p w14:paraId="1FA81D1A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（3）多目标机制形态待丰富。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现有加权标量化与主/软约束分层两种机制已满足“至少 2 种”的下限，但缺乏帕累托前沿类机制，无法回答“权重 λ 变化下解集如何权衡”这一更深层问题；碳排目前只在结果层计量，未形成对派单的约束力。</w:t>
      </w:r>
    </w:p>
    <w:p w14:paraId="22CDFF61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（4）评价口径的固有局限。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全局精确最优在 20 辆车队下组合爆炸，M1-M4 采用条件最优口径（弱于全局最优）；A3 精确 gap 仅在小规模时启用。评价体系存在“以弱口径自证”的理论局限，需在报告与答辩中如实说明。</w:t>
      </w:r>
    </w:p>
    <w:p w14:paraId="33BF0469">
      <w:pPr>
        <w:pStyle w:val="3"/>
        <w:spacing w:before="320" w:after="200"/>
      </w:pPr>
      <w:bookmarkStart w:id="11" w:name="_Toc4553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2.2 解决方案</w:t>
      </w:r>
      <w:bookmarkEnd w:id="11"/>
    </w:p>
    <w:p w14:paraId="3FCD3F6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（1）需求链条（对应问题 1）：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设计如图 2-1 的传导规则，在数据生成器实现：基础需求按泊松独立到达；上游节点订单成交后以概率 β 经加工延迟 L 触发下游补货订单；下游吨位按产出率 α 折算（体现加工损耗）；链条拓扑与 α/β/L 参数写入世界规则 TOML，生成器版本升 v3 并保持逐字节可复现。POI 库已含家具/建材/五金类真实工厂与市场（1146 个成都 POI），链条起点/终点可直接落在真实坐标上。</w:t>
      </w:r>
    </w:p>
    <w:p w14:paraId="3F879216">
      <w:pPr>
        <w:spacing w:before="160" w:after="60"/>
        <w:jc w:val="center"/>
      </w:pPr>
      <w:r>
        <w:drawing>
          <wp:inline distT="0" distB="0" distL="0" distR="0">
            <wp:extent cx="4762500" cy="212407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1330">
      <w:pPr>
        <w:spacing w:after="24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图 2-1  货物材料需求发生链条设计（后续实现方案）</w:t>
      </w:r>
    </w:p>
    <w:p w14:paraId="49ACBF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（2）事件补齐（对应问题 2）：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新增三类事件——缺货（装货节点库存不足，延迟装货形成额外等待）、货损（运输中部分货损，送达吨位折减，影响吞吐与成本）、交通拥堵（在分时段速度系数基础上叠加随机拥堵路段，降速不改道）。加上现有 4 类达 7 类；司机行为状态增加“请假”后达 5 种，满足“优”档数量要求。</w:t>
      </w:r>
    </w:p>
    <w:p w14:paraId="60727C06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（3）帕累托机制（对应问题 3）：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在加权法之外实现 ε-约束法变体：固定 C2 为主目标，将 U4 空驶率、T2 P95 作为 ε 约束边界，扫描 ε 网格生成近似帕累托前沿；实验参数开放 λ 权重与 ε 边界，用同种子批次做受控对比。碳排约束：G2_carbon_max 收紧时向 Cost 追加超限惩罚项。</w:t>
      </w:r>
    </w:p>
    <w:p w14:paraId="16A2CB0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（4）口径补强（对应问题 4）：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小批次保留精确枚举 gap 作“锚点”校验条件最优口径的偏差；报告与答辩中所有结论均注明口径与局限。</w:t>
      </w:r>
    </w:p>
    <w:p w14:paraId="39C0C45B">
      <w:pPr>
        <w:pStyle w:val="2"/>
        <w:pageBreakBefore/>
        <w:spacing w:before="240" w:after="360"/>
        <w:jc w:val="center"/>
      </w:pPr>
      <w:bookmarkStart w:id="12" w:name="_Toc17941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第三章  前期任务完成度与后续实施计划</w:t>
      </w:r>
      <w:bookmarkEnd w:id="12"/>
    </w:p>
    <w:p w14:paraId="6D32CA29">
      <w:pPr>
        <w:pStyle w:val="3"/>
        <w:spacing w:before="320" w:after="200"/>
      </w:pPr>
      <w:bookmarkStart w:id="13" w:name="_Toc10025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3.1 任务书要求完成度对照</w:t>
      </w:r>
      <w:bookmarkEnd w:id="13"/>
    </w:p>
    <w:p w14:paraId="5038D34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按任务书主要任务逐项对照当前实现状态如表 3-1 所示。</w:t>
      </w:r>
    </w:p>
    <w:p w14:paraId="7A8A682E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3-1  任务书主要任务完成度对照</w:t>
      </w:r>
    </w:p>
    <w:tbl>
      <w:tblPr>
        <w:tblStyle w:val="14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827"/>
        <w:gridCol w:w="4153"/>
        <w:gridCol w:w="1163"/>
      </w:tblGrid>
      <w:tr w14:paraId="58D69BA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</w:tblPrEx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53B0E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任务书条目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4141E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要求</w:t>
            </w:r>
          </w:p>
        </w:tc>
        <w:tc>
          <w:tcPr>
            <w:tcW w:w="25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FC9B9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本阶段实现</w:t>
            </w:r>
          </w:p>
        </w:tc>
        <w:tc>
          <w:tcPr>
            <w:tcW w:w="7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18A63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状态</w:t>
            </w:r>
          </w:p>
        </w:tc>
      </w:tr>
      <w:tr w14:paraId="0975D277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C265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1.1 需求链条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CF05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吨位/方量变化趋势，至少 1 条链条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A656F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订单流泊松到达已实现；链条传导规则已设计（图 2-1），编码列入计划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98BFC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部分完成</w:t>
            </w:r>
          </w:p>
        </w:tc>
      </w:tr>
      <w:tr w14:paraId="559F0DB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73BB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1.2 司机行为状态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F8924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种，数学概率基准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C613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拒单（p=0.06×等级修正）、疲劳休息（4h/20min）、维修联动；增加请假状态后达 5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1C148F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6D93DAF4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79FE1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1.3 运输随机事件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CD0B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E485C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极端天气、车祸 2 类已实现（另有司机侧拒单/休息）；补齐缺货/货损/拥堵后达 7 类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D0AEB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  <w:tr w14:paraId="3FD576DA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1D5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1.4 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A11617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对优化目标实时统计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C0D5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八维指标体系 + WS 3s 推送 + 每 6 tick 快照落库 + 匹配质量/可靠性评价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97CC3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已完成</w:t>
            </w:r>
          </w:p>
        </w:tc>
      </w:tr>
      <w:tr w14:paraId="322E9E1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52CBA5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2 全局多目标优化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1DF96E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多目标机制至少 2 种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5019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SA 全局批量调度；机制一：Cost A–F 加权标量化；机制二：4 主目标 + 2 软约束分层与同种子受控对比；帕累托机制列入计划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BACA0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基本完成</w:t>
            </w:r>
          </w:p>
        </w:tc>
      </w:tr>
    </w:tbl>
    <w:p w14:paraId="472D5662">
      <w:pPr>
        <w:spacing w:before="0" w:after="120"/>
      </w:pPr>
    </w:p>
    <w:p w14:paraId="7540A8C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对照任务书“优”档标准（司机状态 ≥5 种、随机事件 ≥5 种、多目标机制 &gt;3 种），当前处于“良”向“优”推进的中段：实时统计与全局优化主链已达“优”档工作量，缺口集中在需求链条与事件/机制数量，方案与排期均已明确。</w:t>
      </w:r>
    </w:p>
    <w:p w14:paraId="5C3C8FF1">
      <w:pPr>
        <w:pStyle w:val="3"/>
        <w:spacing w:before="320" w:after="200"/>
      </w:pPr>
      <w:bookmarkStart w:id="14" w:name="_Toc374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3.2 后续实施计划</w:t>
      </w:r>
      <w:bookmarkEnd w:id="14"/>
    </w:p>
    <w:p w14:paraId="3EBA2B08">
      <w:pPr>
        <w:spacing w:before="160" w:after="120"/>
        <w:jc w:val="center"/>
      </w:pPr>
      <w:r>
        <w:rPr>
          <w:rFonts w:ascii="Times New Roman" w:hAnsi="Times New Roman" w:eastAsia="黑体"/>
          <w:b/>
          <w:bCs/>
          <w:sz w:val="21"/>
          <w:szCs w:val="21"/>
        </w:rPr>
        <w:t>表 3-2  后续实施计划</w:t>
      </w:r>
    </w:p>
    <w:tbl>
      <w:tblPr>
        <w:tblStyle w:val="14"/>
        <w:tblW w:w="5000" w:type="pct"/>
        <w:tblInd w:w="0" w:type="dxa"/>
        <w:tblBorders>
          <w:top w:val="single" w:color="000000" w:sz="14" w:space="0"/>
          <w:left w:val="none" w:color="FFFFFF" w:sz="0" w:space="0"/>
          <w:bottom w:val="single" w:color="000000" w:sz="14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"/>
        <w:gridCol w:w="1827"/>
        <w:gridCol w:w="5482"/>
      </w:tblGrid>
      <w:tr w14:paraId="4DFA5536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CF615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11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2CC91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工作项</w:t>
            </w:r>
          </w:p>
        </w:tc>
        <w:tc>
          <w:tcPr>
            <w:tcW w:w="3300" w:type="pct"/>
            <w:tcBorders>
              <w:top w:val="nil"/>
              <w:left w:val="nil"/>
              <w:bottom w:val="single" w:color="404040" w:sz="8" w:space="0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22CFFC">
            <w:pPr>
              <w:spacing w:line="280" w:lineRule="auto"/>
              <w:jc w:val="center"/>
            </w:pPr>
            <w:r>
              <w:rPr>
                <w:rFonts w:ascii="Times New Roman" w:hAnsi="Times New Roman" w:eastAsia="黑体"/>
                <w:b/>
                <w:bCs/>
                <w:sz w:val="21"/>
                <w:szCs w:val="21"/>
              </w:rPr>
              <w:t>关键产出</w:t>
            </w:r>
          </w:p>
        </w:tc>
      </w:tr>
      <w:tr w14:paraId="4172F8E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C2390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1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B1C12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需求发生链条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72684B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生成器 v3（α/β/L 传导）、TOML 规则、链条订单回归测试</w:t>
            </w:r>
          </w:p>
        </w:tc>
      </w:tr>
      <w:tr w14:paraId="28CBA54C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B01CA2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2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C482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事件补齐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6D5AFA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缺货/货损/拥堵三类事件 + 请假状态，事件数达 7、状态数达 5</w:t>
            </w:r>
          </w:p>
        </w:tc>
      </w:tr>
      <w:tr w14:paraId="73BF6751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6F2E7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3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C93380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帕累托多目标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25EC9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ε-约束扫描、近似帕累托前沿、λ/ε 参数面板、碳排超限惩罚接入</w:t>
            </w:r>
          </w:p>
        </w:tc>
      </w:tr>
      <w:tr w14:paraId="523BF040">
        <w:tblPrEx>
          <w:tblBorders>
            <w:top w:val="single" w:color="000000" w:sz="14" w:space="0"/>
            <w:left w:val="none" w:color="FFFFFF" w:sz="0" w:space="0"/>
            <w:bottom w:val="single" w:color="000000" w:sz="14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0A254">
            <w:pPr>
              <w:spacing w:line="280" w:lineRule="auto"/>
              <w:jc w:val="center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第 4 周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3C9ECD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实验与结题</w:t>
            </w:r>
          </w:p>
        </w:tc>
        <w:tc>
          <w:tcPr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D1BD23">
            <w:pPr>
              <w:spacing w:line="280" w:lineRule="auto"/>
              <w:jc w:val="left"/>
            </w:pPr>
            <w:r>
              <w:rPr>
                <w:rFonts w:ascii="Times New Roman" w:hAnsi="Times New Roman" w:eastAsia="宋体"/>
                <w:b w:val="0"/>
                <w:bCs w:val="0"/>
                <w:sz w:val="21"/>
                <w:szCs w:val="21"/>
              </w:rPr>
              <w:t>多组参数批次实验、对比分析、结题报告与答辩材料</w:t>
            </w:r>
          </w:p>
        </w:tc>
      </w:tr>
    </w:tbl>
    <w:p w14:paraId="7B946730">
      <w:pPr>
        <w:spacing w:before="0" w:after="120"/>
      </w:pPr>
    </w:p>
    <w:p w14:paraId="30B28521">
      <w:pPr>
        <w:pStyle w:val="3"/>
        <w:spacing w:before="320" w:after="200"/>
      </w:pPr>
      <w:bookmarkStart w:id="15" w:name="_Toc21408"/>
      <w:r>
        <w:rPr>
          <w:rFonts w:ascii="Times New Roman" w:hAnsi="Times New Roman" w:eastAsia="黑体"/>
          <w:b/>
          <w:bCs/>
          <w:color w:val="000000"/>
          <w:sz w:val="28"/>
          <w:szCs w:val="28"/>
        </w:rPr>
        <w:t>3.3 团队分工</w:t>
      </w:r>
      <w:bookmarkEnd w:id="15"/>
    </w:p>
    <w:p w14:paraId="5B8F2CBD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本阶段的方案设计（指标体系选型、优化对象框架、沙箱总体架构、展示规范）由全体小组集体讨论完成，编码实现按六个工作包推进：</w:t>
      </w:r>
    </w:p>
    <w:p w14:paraId="6EAAD22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丁宁：</w:t>
      </w:r>
      <w:r>
        <w:rPr>
          <w:rFonts w:ascii="Times New Roman" w:hAnsi="Times New Roman" w:eastAsia="宋体"/>
          <w:b/>
          <w:bCs/>
          <w:sz w:val="24"/>
          <w:szCs w:val="24"/>
        </w:rPr>
        <w:t>统计计算引擎与指标落地（后端）：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统计链路、M/U/T/A/C/R/F/G 八维指标、匹配质量评价；</w:t>
      </w:r>
    </w:p>
    <w:p w14:paraId="637552E8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李韦成：</w:t>
      </w:r>
      <w:r>
        <w:rPr>
          <w:rFonts w:ascii="Times New Roman" w:hAnsi="Times New Roman" w:eastAsia="宋体"/>
          <w:b/>
          <w:bCs/>
          <w:sz w:val="24"/>
          <w:szCs w:val="24"/>
        </w:rPr>
        <w:t>司机与随机事件引擎（后端）：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司机对象、四类事件状态机、统一暂停机制；</w:t>
      </w:r>
    </w:p>
    <w:p w14:paraId="1860F6B3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胡天琦：</w:t>
      </w:r>
      <w:r>
        <w:rPr>
          <w:rFonts w:ascii="Times New Roman" w:hAnsi="Times New Roman" w:eastAsia="宋体"/>
          <w:b/>
          <w:bCs/>
          <w:sz w:val="24"/>
          <w:szCs w:val="24"/>
        </w:rPr>
        <w:t>运行期指标展示（前端）：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地图数据覆盖层、八组卡片、事件流时间线；</w:t>
      </w:r>
    </w:p>
    <w:p w14:paraId="2E129CB6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万飞翔：</w:t>
      </w:r>
      <w:r>
        <w:rPr>
          <w:rFonts w:ascii="Times New Roman" w:hAnsi="Times New Roman" w:eastAsia="宋体"/>
          <w:b/>
          <w:bCs/>
          <w:sz w:val="24"/>
          <w:szCs w:val="24"/>
        </w:rPr>
        <w:t>沙箱数据模型与鉴权（后端）：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四级模型、维度隔离迁移、双层 TOML、登录鉴权；</w:t>
      </w:r>
    </w:p>
    <w:p w14:paraId="1D0F760B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胡杨：</w:t>
      </w:r>
      <w:r>
        <w:rPr>
          <w:rFonts w:ascii="Times New Roman" w:hAnsi="Times New Roman" w:eastAsia="宋体"/>
          <w:b/>
          <w:bCs/>
          <w:sz w:val="24"/>
          <w:szCs w:val="24"/>
        </w:rPr>
        <w:t>沙箱引擎与全套 API（后端）：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实验运行时、虚拟时钟、确定性生成器、对比接口；</w:t>
      </w:r>
    </w:p>
    <w:p w14:paraId="2386C3B5">
      <w:pPr>
        <w:spacing w:line="340" w:lineRule="auto"/>
        <w:ind w:firstLine="480"/>
        <w:jc w:val="both"/>
      </w:pPr>
      <w:r>
        <w:rPr>
          <w:rFonts w:hint="eastAsia"/>
          <w:b/>
          <w:bCs/>
          <w:sz w:val="24"/>
          <w:szCs w:val="24"/>
          <w:lang w:val="en-US" w:eastAsia="zh-CN"/>
        </w:rPr>
        <w:t>华观中：</w:t>
      </w:r>
      <w:r>
        <w:rPr>
          <w:rFonts w:ascii="Times New Roman" w:hAnsi="Times New Roman" w:eastAsia="宋体"/>
          <w:b/>
          <w:bCs/>
          <w:sz w:val="24"/>
          <w:szCs w:val="24"/>
        </w:rPr>
        <w:t>沙箱页面流与结果工具链（前端）：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沙箱/实验页面流、参数分栏 Diff、报告导出。</w:t>
      </w:r>
    </w:p>
    <w:p w14:paraId="05B40001">
      <w:pPr>
        <w:pStyle w:val="2"/>
        <w:pageBreakBefore/>
        <w:spacing w:before="240" w:after="360"/>
        <w:jc w:val="center"/>
      </w:pPr>
      <w:bookmarkStart w:id="16" w:name="_Toc27874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第四章  AI工具利用情况与思考</w:t>
      </w:r>
      <w:bookmarkEnd w:id="16"/>
    </w:p>
    <w:p w14:paraId="05C40002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 w:val="0"/>
          <w:bCs w:val="0"/>
          <w:sz w:val="24"/>
          <w:szCs w:val="24"/>
        </w:rPr>
        <w:t>本项目在开发中深度使用了 AI 编程工具的 Agent 模式：由 AI 承担大部分编码实现与文档生成，团队成员负责需求定义、方案设计（全组讨论产出）与关键结果审查，并把项目背景沉淀在 AGENT.md 等文档中供 AI 跨会话接续。以下问题均来自本项目开发中真实发生的事件，而非预设议题。</w:t>
      </w:r>
    </w:p>
    <w:p w14:paraId="05C40003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（1）为什么 AI 生成的文档经办公软件再次保存后，会出现“格式漂移”？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本报告初版由 AI 按 OOXML 规范生成，目录域、标题大纲级别、页码缓存等属性完整；但在 WPS 中打开并保存后，标题样式的大纲级别、目录页码缓存与“打开时更新域”设置被悄然剥除，目录页码随之消失，更新目录甚至报“未找到目录项”。AI 熟悉的是规范本身，而真实软件的保存逻辑有自己的裁剪行为；补救依靠结构校验脚本定位差异、以办公软件的自动化接口真实排版回填。教训是：AI 产物一旦进入人工工具链，就要预期“格式漂移”并预备校验与修复手段。</w:t>
      </w:r>
    </w:p>
    <w:p w14:paraId="05C40004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（2）为什么让 AI 直接操作文件时要警惕“误报成功”？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一次替换报告文件时，移动命令因文件正被 WPS 锁定而失败，错误信息只写入了标准错误流，AI 检查标准输出后误判替换已成功——而当时用户正在 WPS 中对报告做三处人工修改（整页封面、目录更新、分工人名）。此后流程改为：先完整备份、用文本比对提取人工改动、再以人工版本为基底做内容级合并，每一步写操作都核对实际结果。教训是：人机协作中“谁改了什么”必须全程可见，AI 的写操作要有备份与复核，否则可能无声覆盖人的工作。</w:t>
      </w:r>
    </w:p>
    <w:p w14:paraId="05C40005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（3）AI 看不到界面截图时，如何判断插图该放在报告哪个位置？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按要求把五张系统运行截图插入报告时，AI 并没有视觉能力，转而调用操作系统自带的 OCR 引擎逐张识别截图文字（如“沙箱管理”“实验参数配置”“SA 收敛曲线”“主目标雷达”），据此确认每张图的实际内容，再按语义匹配到对应章节并撰写过渡文字。感知受限可以用工具链补齐，但成图位置与效果是否恰当，最终仍由人过目确认——AI 只能保证“有依据”，不能保证“看得见”。</w:t>
      </w:r>
    </w:p>
    <w:p w14:paraId="05C40006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（4）为什么 AI 提出的指标体系会“求全而不求实”？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设计统计指标体系时，AI 初稿引入了周期生成、投资回报率、复杂度基准、问卷满意度等指标，但仿真环境根本没有这些数据来源——问卷类数据在纯模拟场景下无从谈起。团队逐项审视后删除了所有无数据来源的指标，把体系收敛为八维全部可由真实运行数据计算的口径。启示：AI 生成方案的默认倾向是覆盖面最大化，而把“看起来完备”裁剪成“确实可算”，是人不可让渡的审查责任。</w:t>
      </w:r>
    </w:p>
    <w:p w14:paraId="05C40007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（5）AI 设计的“条件最优”评价口径有什么方法论局限？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为绕开 20 辆车队全局精确枚举的组合爆炸，AI 提出以“固定其余指派不变、逐单改派取整批成本最低者”作为参考答案，使匹配质量评价可实时计算——但它弱于全局最优，存在“以弱口径自证”的隐患。团队的处理是：小规模批次保留精确枚举 gap 作为锚点校验偏差，并在报告与答辩材料中如实声明该口径的局限。对 AI 生成的评价体系，人同样要审查其方法论边界，并诚实披露。</w:t>
      </w:r>
    </w:p>
    <w:p w14:paraId="05C40008">
      <w:pPr>
        <w:spacing w:line="34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  <w:szCs w:val="24"/>
        </w:rPr>
        <w:t>（6）为什么项目背景要沉淀成 AGENT.md 文档，而不是每次对话口头补充？</w:t>
      </w:r>
      <w:r>
        <w:rPr>
          <w:rFonts w:ascii="Times New Roman" w:hAnsi="Times New Roman" w:eastAsia="宋体"/>
          <w:b w:val="0"/>
          <w:bCs w:val="0"/>
          <w:sz w:val="24"/>
          <w:szCs w:val="24"/>
        </w:rPr>
        <w:t>主开发会话累计 33 轮对话、约 757 万未缓存输入 token，长会话曾触发一次上下文压缩，压缩后早期细节随之丢失。把技术栈、测试红线、数据口径、前端交互约定等稳定背景写入 AGENT.md 后，新会话直接读文档即可接续工作，无需重复交代。与 AI 协作的成本控制点不在“少说话”，而在“信息的组织与沉淀”——让每一次对话尽量“文档进、产物出”。</w:t>
      </w:r>
    </w:p>
    <w:p w14:paraId="29C1E9A7">
      <w:pPr>
        <w:pStyle w:val="2"/>
        <w:pageBreakBefore/>
        <w:spacing w:before="240" w:after="360"/>
        <w:jc w:val="center"/>
      </w:pPr>
      <w:bookmarkStart w:id="17" w:name="_Toc6412"/>
      <w:r>
        <w:rPr>
          <w:rFonts w:ascii="Times New Roman" w:hAnsi="Times New Roman" w:eastAsia="黑体"/>
          <w:b/>
          <w:bCs/>
          <w:color w:val="000000"/>
          <w:sz w:val="32"/>
          <w:szCs w:val="32"/>
        </w:rPr>
        <w:t>参考文献</w:t>
      </w:r>
      <w:bookmarkEnd w:id="17"/>
    </w:p>
    <w:p w14:paraId="69454FC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[1]  进阶式挑战性综合项目 III 课题任务书——运输车辆调度优化与仿真. 电子科技大学信息与软件工程学院, 2026.</w:t>
      </w:r>
    </w:p>
    <w:p w14:paraId="7CF8428F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[2]  GIN TEAM. Gin Web Framework[EB/OL]. (2015-04-04)[2026-09-25]. https://github.com/gin-gonic/gin.</w:t>
      </w:r>
    </w:p>
    <w:p w14:paraId="17E6BFF9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[3]  APACHE SOFTWARE FOUNDATION. Apache ECharts[EB/OL]. (2013)[2026-09-25]. https://echarts.apache.org/.</w:t>
      </w:r>
    </w:p>
    <w:p w14:paraId="7D96E0F6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[4]  IETF. RFC 6455: The WebSocket Protocol[S/OL]. (2011-12)[2026-09-25]. https://datatracker.ietf.org/doc/html/rfc6455.</w:t>
      </w:r>
    </w:p>
    <w:p w14:paraId="50D8BF3C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[5]  KIRKPATRICK S, GELATT C D, VECCHI M P. Optimization by Simulated Annealing[J]. Science, 1983, 220(4598): 671-680.</w:t>
      </w:r>
    </w:p>
    <w:p w14:paraId="1F20558A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[6]  JINZHU Z. GORM: The fantastic ORM library for Golang[EB/OL]. [2026-09-25]. https://gorm.io.</w:t>
      </w:r>
    </w:p>
    <w:p w14:paraId="10E13580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[7]  YOU E. Vue.js: The Progressive JavaScript Framework[EB/OL]. (2014)[2026-09-25]. https://vuejs.org.</w:t>
      </w:r>
    </w:p>
    <w:p w14:paraId="31B989C5">
      <w:pPr>
        <w:spacing w:after="60" w:line="320" w:lineRule="auto"/>
        <w:ind w:left="480" w:hanging="480"/>
        <w:jc w:val="left"/>
      </w:pPr>
      <w:r>
        <w:rPr>
          <w:rFonts w:ascii="Times New Roman" w:hAnsi="Times New Roman" w:eastAsia="宋体"/>
          <w:sz w:val="21"/>
          <w:szCs w:val="21"/>
        </w:rPr>
        <w:t>[8]  高德开放平台. Web 服务 API 文档[EB/OL]. [2026-09-25]. https://lbs.amap.com.</w:t>
      </w:r>
    </w:p>
    <w:sectPr>
      <w:headerReference r:id="rId7" w:type="default"/>
      <w:footerReference r:id="rId8" w:type="default"/>
      <w:pgSz w:w="11906" w:h="16838"/>
      <w:pgMar w:top="1440" w:right="1800" w:bottom="1440" w:left="1800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AEE9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26709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E30A75"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PAGE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页，共 </w:t>
    </w: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NUMPAGES</w:instrText>
    </w:r>
    <w:r>
      <w:rPr>
        <w:rFonts w:ascii="Times New Roman" w:hAnsi="Times New Roman" w:eastAsia="宋体"/>
        <w:sz w:val="18"/>
        <w:szCs w:val="18"/>
      </w:rPr>
      <w:fldChar w:fldCharType="separate"/>
    </w:r>
    <w:r>
      <w:rPr>
        <w:rFonts w:ascii="Times New Roman" w:hAnsi="Times New Roman" w:eastAsia="宋体"/>
        <w:sz w:val="18"/>
        <w:szCs w:val="18"/>
      </w:rPr>
      <w:fldChar w:fldCharType="end"/>
    </w:r>
    <w:r>
      <w:rPr>
        <w:rFonts w:ascii="Times New Roman" w:hAnsi="Times New Roman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7A45DE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C834A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C2B7F">
    <w:pPr>
      <w:pBdr>
        <w:bottom w:val="single" w:color="999999" w:sz="4" w:space="0"/>
      </w:pBdr>
      <w:jc w:val="center"/>
    </w:pPr>
    <w:r>
      <w:rPr>
        <w:rFonts w:ascii="Times New Roman" w:hAnsi="Times New Roman" w:eastAsia="宋体"/>
        <w:color w:val="666666"/>
        <w:sz w:val="18"/>
        <w:szCs w:val="18"/>
      </w:rPr>
      <w:t>信软学院综合设计 III 中期报告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updateFields w:val="true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FD54926"/>
    <w:rsid w:val="2B806487"/>
    <w:rsid w:val="54A11F9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qFormat/>
    <w:rPr>
      <w:rFonts w:ascii="Times New Roman" w:hAnsi="Times New Roman" w:eastAsia="宋体" w:cs="Times New Roman"/>
      <w:sz w:val="24"/>
      <w:szCs w:val="24"/>
    </w:rPr>
  </w:style>
  <w:style w:type="paragraph" w:styleId="2">
    <w:name w:val="heading 1"/>
    <w:basedOn w:val="1"/>
    <w:next w:val="1"/>
    <w:uiPriority w:val="0"/>
    <w:qFormat/>
    <w:pPr>
      <w:outlineLvl w:val="0"/>
    </w:pPr>
    <w:rPr>
      <w:color w:val="2E74B5"/>
      <w:sz w:val="32"/>
      <w:szCs w:val="32"/>
    </w:rPr>
  </w:style>
  <w:style w:type="paragraph" w:styleId="3">
    <w:name w:val="heading 2"/>
    <w:basedOn w:val="1"/>
    <w:next w:val="1"/>
    <w:uiPriority w:val="0"/>
    <w:qFormat/>
    <w:pPr>
      <w:outlineLvl w:val="1"/>
    </w:pPr>
    <w:rPr>
      <w:color w:val="2E74B5"/>
      <w:sz w:val="26"/>
      <w:szCs w:val="26"/>
    </w:rPr>
  </w:style>
  <w:style w:type="paragraph" w:styleId="4">
    <w:name w:val="heading 3"/>
    <w:basedOn w:val="1"/>
    <w:next w:val="1"/>
    <w:uiPriority w:val="0"/>
    <w:qFormat/>
    <w:pPr>
      <w:outlineLvl w:val="2"/>
    </w:pPr>
    <w:rPr>
      <w:color w:val="1F4D78"/>
      <w:sz w:val="24"/>
      <w:szCs w:val="24"/>
    </w:rPr>
  </w:style>
  <w:style w:type="paragraph" w:styleId="5">
    <w:name w:val="heading 4"/>
    <w:basedOn w:val="1"/>
    <w:next w:val="1"/>
    <w:uiPriority w:val="0"/>
    <w:qFormat/>
    <w:pPr>
      <w:outlineLvl w:val="3"/>
    </w:pPr>
    <w:rPr>
      <w:i/>
      <w:iCs/>
      <w:color w:val="2E74B5"/>
    </w:rPr>
  </w:style>
  <w:style w:type="paragraph" w:styleId="6">
    <w:name w:val="heading 5"/>
    <w:basedOn w:val="1"/>
    <w:next w:val="1"/>
    <w:uiPriority w:val="0"/>
    <w:qFormat/>
    <w:pPr>
      <w:outlineLvl w:val="4"/>
    </w:pPr>
    <w:rPr>
      <w:color w:val="2E74B5"/>
    </w:rPr>
  </w:style>
  <w:style w:type="paragraph" w:styleId="7">
    <w:name w:val="heading 6"/>
    <w:basedOn w:val="1"/>
    <w:next w:val="1"/>
    <w:uiPriority w:val="0"/>
    <w:qFormat/>
    <w:pPr>
      <w:outlineLvl w:val="5"/>
    </w:pPr>
    <w:rPr>
      <w:color w:val="1F4D78"/>
    </w:rPr>
  </w:style>
  <w:style w:type="character" w:default="1" w:styleId="15">
    <w:name w:val="Default Paragraph Font"/>
    <w:uiPriority w:val="0"/>
    <w:semiHidden/>
    <w:qFormat/>
  </w:style>
  <w:style w:type="table" w:default="1" w:styleId="1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qFormat/>
    <w:pPr>
      <w:ind w:left="840" w:leftChars="400"/>
    </w:pPr>
  </w:style>
  <w:style w:type="paragraph" w:styleId="9">
    <w:name w:val="endnote text"/>
    <w:basedOn w:val="1"/>
    <w:link w:val="21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basedOn w:val="1"/>
    <w:link w:val="20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12">
    <w:name w:val="toc 2"/>
    <w:basedOn w:val="1"/>
    <w:next w:val="1"/>
    <w:uiPriority w:val="39"/>
    <w:qFormat/>
    <w:pPr>
      <w:ind w:left="210"/>
      <w:jc w:val="left"/>
    </w:pPr>
    <w:rPr>
      <w:rFonts w:ascii="Calibri" w:hAnsi="Calibri"/>
      <w:smallCaps/>
      <w:sz w:val="22"/>
    </w:rPr>
  </w:style>
  <w:style w:type="paragraph" w:styleId="13">
    <w:name w:val="Title"/>
    <w:basedOn w:val="1"/>
    <w:next w:val="1"/>
    <w:uiPriority w:val="0"/>
    <w:qFormat/>
    <w:rPr>
      <w:sz w:val="56"/>
      <w:szCs w:val="56"/>
    </w:rPr>
  </w:style>
  <w:style w:type="character" w:styleId="16">
    <w:name w:val="endnote reference"/>
    <w:uiPriority w:val="99"/>
    <w:semiHidden/>
    <w:unhideWhenUsed/>
    <w:rPr>
      <w:vertAlign w:val="superscript"/>
    </w:rPr>
  </w:style>
  <w:style w:type="character" w:styleId="17">
    <w:name w:val="Hyperlink"/>
    <w:uiPriority w:val="99"/>
    <w:unhideWhenUsed/>
    <w:qFormat/>
    <w:rPr>
      <w:color w:val="0563C1"/>
      <w:u w:val="single"/>
    </w:rPr>
  </w:style>
  <w:style w:type="character" w:styleId="18">
    <w:name w:val="footnote reference"/>
    <w:uiPriority w:val="99"/>
    <w:semiHidden/>
    <w:unhideWhenUsed/>
    <w:qFormat/>
    <w:rPr>
      <w:vertAlign w:val="superscript"/>
    </w:rPr>
  </w:style>
  <w:style w:type="paragraph" w:styleId="19">
    <w:name w:val="List Paragraph"/>
    <w:basedOn w:val="1"/>
    <w:uiPriority w:val="0"/>
    <w:qFormat/>
  </w:style>
  <w:style w:type="character" w:customStyle="1" w:styleId="20">
    <w:name w:val="Footnote Text Char"/>
    <w:link w:val="11"/>
    <w:uiPriority w:val="99"/>
    <w:semiHidden/>
    <w:unhideWhenUsed/>
    <w:qFormat/>
    <w:rPr>
      <w:sz w:val="20"/>
      <w:szCs w:val="20"/>
    </w:rPr>
  </w:style>
  <w:style w:type="character" w:customStyle="1" w:styleId="21">
    <w:name w:val="Endnote Text Char"/>
    <w:link w:val="9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jpe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20</Pages>
  <Words>6682</Words>
  <Characters>9365</Characters>
  <TotalTime>0</TotalTime>
  <ScaleCrop>false</ScaleCrop>
  <LinksUpToDate>false</LinksUpToDate>
  <CharactersWithSpaces>10247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2026-10-12T11:53:00Z</dcterms:created>
  <dc:creator>TVSOS 小组</dc:creator>
  <cp:lastModifiedBy>溟湮丶熵落</cp:lastModifiedBy>
  <dcterms:modified xsi:type="dcterms:W3CDTF">2026-10-12T13:21:20Z</dcterms:modified>
  <dc:title>综合设计 III 中期报告——运输车辆调度优化与仿真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eyJoZGlkIjoiYWY0YTNjYTRkZWI1OTFkN2RhZmNmOTA5ZTkxNDc1YjkiLCJ1c2VySWQiOiIxMTk3NDQ2MTE4In0=</vt:lpwstr>
  </property>
  <property fmtid="{D5CDD505-2E9C-101B-9397-08002B2CF9AE}" pid="3" name="KSOProductBuildVer">
    <vt:lpwstr>2052-12.1.0.28505</vt:lpwstr>
  </property>
  <property fmtid="{D5CDD505-2E9C-101B-9397-08002B2CF9AE}" pid="4" name="ICV">
    <vt:lpwstr>144CE27EE84D44C1AD14810882820C2B_12</vt:lpwstr>
  </property>
</Properties>
</file>