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30DA4A">
      <w:pPr>
        <w:sectPr>
          <w:headerReference r:id="rId3" w:type="default"/>
          <w:footerReference r:id="rId4" w:type="default"/>
          <w:pgSz w:w="11906" w:h="16838"/>
          <w:pgMar w:top="1440" w:right="1800" w:bottom="1440" w:left="1800" w:header="708" w:footer="708" w:gutter="0"/>
          <w:cols w:space="720" w:num="1"/>
          <w:docGrid w:linePitch="360" w:charSpace="0"/>
        </w:sectPr>
      </w:pP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396240</wp:posOffset>
                </wp:positionV>
                <wp:extent cx="5386070" cy="8107045"/>
                <wp:effectExtent l="15875" t="15875" r="20955" b="17780"/>
                <wp:wrapNone/>
                <wp:docPr id="10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86070" cy="810704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3471B0"/>
                          </a:solidFill>
                          <a:miter lim="800000"/>
                        </a:ln>
                      </wps:spPr>
                      <wps:txbx>
                        <w:txbxContent>
                          <w:p w14:paraId="50A6ED0C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/>
                              </w:rPr>
                              <w:drawing>
                                <wp:inline distT="0" distB="0" distL="0" distR="0">
                                  <wp:extent cx="1813560" cy="1371600"/>
                                  <wp:effectExtent l="0" t="0" r="0" b="0"/>
                                  <wp:docPr id="11" name="图片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图片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13560" cy="13716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25C1AD2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信息与软件工程学院</w:t>
                            </w:r>
                          </w:p>
                          <w:p w14:paraId="0899756F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综合设计</w:t>
                            </w:r>
                            <w:r>
                              <w:rPr>
                                <w:rFonts w:hint="eastAsia" w:ascii="Times" w:hAnsi="Times" w:eastAsia="黑体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hint="eastAsia" w:ascii="Times" w:hAnsi="Times" w:eastAsia="黑体"/>
                                <w:b/>
                                <w:sz w:val="56"/>
                                <w:szCs w:val="72"/>
                              </w:rPr>
                              <w:t>中期</w:t>
                            </w: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报告</w:t>
                            </w:r>
                          </w:p>
                          <w:p w14:paraId="30C646C9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课程名称：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进阶式挑战性综合项目 I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I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I（数字动漫）</w:t>
                            </w:r>
                          </w:p>
                          <w:p w14:paraId="1130FA32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课题名称：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运输车辆调度优化与仿真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0B87A0F1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指导教师：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李贞昊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0C56069C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所在系别：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软件工程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2243C3C4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执行学期：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第五学期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2F431AAB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学生信息：</w:t>
                            </w:r>
                          </w:p>
                          <w:tbl>
                            <w:tblPr>
                              <w:tblStyle w:val="12"/>
                              <w:tblW w:w="7645" w:type="dxa"/>
                              <w:tblInd w:w="28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1550"/>
                              <w:gridCol w:w="3260"/>
                              <w:gridCol w:w="2835"/>
                            </w:tblGrid>
                            <w:tr w14:paraId="14242C4B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388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9406D1E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序号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CF4EF86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学号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37C9537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/>
                                      <w:color w:val="000000"/>
                                    </w:rPr>
                                    <w:t>姓名</w:t>
                                  </w:r>
                                </w:p>
                              </w:tc>
                            </w:tr>
                            <w:tr w14:paraId="098D8D5D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1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89F4C1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1（组长）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CD334A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2024090904002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3C6E2CE5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胡杨</w:t>
                                  </w:r>
                                </w:p>
                              </w:tc>
                            </w:tr>
                            <w:tr w14:paraId="112C59DD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9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227AEF8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33329E1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2024090910005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966E51C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丁宁</w:t>
                                  </w:r>
                                </w:p>
                              </w:tc>
                            </w:tr>
                            <w:tr w14:paraId="1047C20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3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006A3F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424CB190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2024090906027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02B3DF7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胡天琦</w:t>
                                  </w:r>
                                </w:p>
                              </w:tc>
                            </w:tr>
                            <w:tr w14:paraId="3DBF2F83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61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318B0B4E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D93D468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2024090910008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398E80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华观中</w:t>
                                  </w:r>
                                </w:p>
                              </w:tc>
                            </w:tr>
                            <w:tr w14:paraId="12307B78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463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0A2CDA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17B68B6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2024090910020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DEAD8CA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万飞翔</w:t>
                                  </w:r>
                                </w:p>
                              </w:tc>
                            </w:tr>
                            <w:tr w14:paraId="68C71F63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19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4B71A2E5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ACBDA3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2024090906006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A99866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李韦成</w:t>
                                  </w:r>
                                </w:p>
                              </w:tc>
                            </w:tr>
                          </w:tbl>
                          <w:p w14:paraId="36141F6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5" o:spid="_x0000_s1026" o:spt="1" style="position:absolute;left:0pt;margin-left:-5.25pt;margin-top:31.2pt;height:638.35pt;width:424.1pt;z-index:-251657216;mso-width-relative:page;mso-height-relative:page;" filled="f" stroked="t" coordsize="21600,21600" o:gfxdata="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LVhMsNoAAAALAQAADwAAAAAAAAABACAAAAAiAAAAZHJz&#10;L2Rvd25yZXYueG1sUEsBAhQAFAAAAAgAh07iQGq9egQ7AgAAVAQAAA4AAAAAAAAAAQAgAAAAKQEA&#10;AGRycy9lMm9Eb2MueG1sUEsFBgAAAAAGAAYAWQEAANYFAAAAAA==&#10;">
                <v:fill on="f" focussize="0,0"/>
                <v:stroke weight="2.5pt" color="#3471B0" miterlimit="8" joinstyle="miter"/>
                <v:imagedata o:title=""/>
                <o:lock v:ext="edit" aspectratio="f"/>
                <v:textbox>
                  <w:txbxContent>
                    <w:p w14:paraId="50A6ED0C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/>
                        </w:rPr>
                        <w:drawing>
                          <wp:inline distT="0" distB="0" distL="0" distR="0">
                            <wp:extent cx="1813560" cy="1371600"/>
                            <wp:effectExtent l="0" t="0" r="0" b="0"/>
                            <wp:docPr id="11" name="图片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图片 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13560" cy="137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25C1AD2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信息与软件工程学院</w:t>
                      </w:r>
                    </w:p>
                    <w:p w14:paraId="0899756F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综合设计</w:t>
                      </w:r>
                      <w:r>
                        <w:rPr>
                          <w:rFonts w:hint="eastAsia" w:ascii="Times" w:hAnsi="Times" w:eastAsia="黑体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hint="eastAsia" w:ascii="Times" w:hAnsi="Times" w:eastAsia="黑体"/>
                          <w:b/>
                          <w:sz w:val="56"/>
                          <w:szCs w:val="72"/>
                        </w:rPr>
                        <w:t>中期</w:t>
                      </w: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报告</w:t>
                      </w:r>
                    </w:p>
                    <w:p w14:paraId="30C646C9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课程名称：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进阶式挑战性综合项目 I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I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I（数字动漫）</w:t>
                      </w:r>
                    </w:p>
                    <w:p w14:paraId="1130FA32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课题名称：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运输车辆调度优化与仿真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0B87A0F1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指导教师：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李贞昊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0C56069C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所在系别：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软件工程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2243C3C4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执行学期：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第五学期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2F431AAB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学生信息：</w:t>
                      </w:r>
                    </w:p>
                    <w:tbl>
                      <w:tblPr>
                        <w:tblStyle w:val="12"/>
                        <w:tblW w:w="7645" w:type="dxa"/>
                        <w:tblInd w:w="28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1550"/>
                        <w:gridCol w:w="3260"/>
                        <w:gridCol w:w="2835"/>
                      </w:tblGrid>
                      <w:tr w14:paraId="14242C4B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388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9406D1E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序号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CF4EF86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学号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37C9537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/>
                                <w:color w:val="000000"/>
                              </w:rPr>
                              <w:t>姓名</w:t>
                            </w:r>
                          </w:p>
                        </w:tc>
                      </w:tr>
                      <w:tr w14:paraId="098D8D5D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1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89F4C1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1（组长）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CD334A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2024090904002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3C6E2CE5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胡杨</w:t>
                            </w:r>
                          </w:p>
                        </w:tc>
                      </w:tr>
                      <w:tr w14:paraId="112C59DD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9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227AEF8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33329E1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2024090910005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966E51C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丁宁</w:t>
                            </w:r>
                          </w:p>
                        </w:tc>
                      </w:tr>
                      <w:tr w14:paraId="1047C20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3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006A3F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424CB190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2024090906027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02B3DF7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胡天琦</w:t>
                            </w:r>
                          </w:p>
                        </w:tc>
                      </w:tr>
                      <w:tr w14:paraId="3DBF2F83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61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318B0B4E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D93D468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2024090910008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398E80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华观中</w:t>
                            </w:r>
                          </w:p>
                        </w:tc>
                      </w:tr>
                      <w:tr w14:paraId="12307B78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463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0A2CDA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17B68B6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2024090910020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DEAD8CA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万飞翔</w:t>
                            </w:r>
                          </w:p>
                        </w:tc>
                      </w:tr>
                      <w:tr w14:paraId="68C71F63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19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4B71A2E5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ACBDA3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2024090906006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A99866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李韦成</w:t>
                            </w:r>
                          </w:p>
                        </w:tc>
                      </w:tr>
                    </w:tbl>
                    <w:p w14:paraId="36141F6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7B61EBC">
      <w:pPr>
        <w:spacing w:before="240" w:after="300"/>
        <w:jc w:val="center"/>
      </w:pPr>
      <w:r>
        <w:rPr>
          <w:rFonts w:ascii="Times New Roman" w:hAnsi="Times New Roman" w:eastAsia="黑体"/>
          <w:b/>
          <w:bCs/>
          <w:sz w:val="32"/>
          <w:szCs w:val="32"/>
        </w:rPr>
        <w:t>目  录</w:t>
      </w:r>
    </w:p>
    <w:sdt>
      <w:sdtPr>
        <w:alias w:val="目录"/>
        <w:id w:val="147481316"/>
      </w:sdtPr>
      <w:sdtContent>
        <w:p w14:paraId="07E6521F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第一章  综合设计的进展情况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5C354E92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"_Toc2"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1.1 针对工程问题的方案设计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_Toc2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3C344F2D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"_Toc3"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 针对工程问题的推理分析与具体实现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_Toc3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0679901F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"_Toc4"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1.2.1 司机对象与概率化行为状态机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_Toc4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2026E422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"_Toc5"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1.2.2 运输过程随机事件引擎与统一暂停机制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_Toc5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6D062C59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"_Toc6"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1.2.3 全局多目标优化机制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_Toc6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60AE4A1B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"_Toc7"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1.2.4 优化目标的实时统计与匹配质量评价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_Toc7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42C1250F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"_Toc8"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1.2.5 实验沙箱与确定性复现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_Toc8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5A283579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"_Toc9"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1.3 知识技能学习情况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_Toc9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66FFCF69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"_Toc10"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第二章  存在问题与解决方案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_Toc10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296CDCAA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"_Toc11"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2.1 存在的主要问题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_Toc11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1A28F320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"_Toc12"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2.2 解决方案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_Toc12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38CF20D7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"_Toc13"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第三章  前期任务完成度与后续实施计划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_Toc13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302CF60D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"_Toc14"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3.1 任务书要求完成度对照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_Toc14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37539D41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"_Toc15"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3.2 后续实施计划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_Toc15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713E7B56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"_Toc16"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3.3 团队分工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_Toc16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24B804D8">
          <w:pPr>
            <w:pStyle w:val="10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</w:pP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 HYPERLINK \l "_Toc17" 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>参考文献</w: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tab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instrText xml:space="preserve">PAGEREF _Toc17 \h</w:instrText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  <w:r>
            <w:rPr>
              <w:rFonts w:ascii="Times New Roman" w:hAnsi="Times New Roman" w:cs="Times New Roman"/>
              <w:kern w:val="2"/>
              <w:sz w:val="24"/>
              <w:szCs w:val="24"/>
              <w:lang w:val="en-US" w:eastAsia="zh-CN" w:bidi="ar-SA"/>
            </w:rPr>
            <w:fldChar w:fldCharType="end"/>
          </w:r>
        </w:p>
        <w:p w14:paraId="531FDF2A">
          <w:r>
            <w:fldChar w:fldCharType="end"/>
          </w:r>
        </w:p>
      </w:sdtContent>
    </w:sdt>
    <w:p w14:paraId="363764CE">
      <w:pPr>
        <w:sectPr>
          <w:headerReference r:id="rId5" w:type="default"/>
          <w:footerReference r:id="rId6" w:type="default"/>
          <w:pgSz w:w="11906" w:h="16838"/>
          <w:pgMar w:top="1440" w:right="1800" w:bottom="1440" w:left="1800" w:header="708" w:footer="708" w:gutter="0"/>
          <w:pgNumType w:fmt="lowerRoman" w:start="1"/>
          <w:cols w:space="720" w:num="1"/>
          <w:docGrid w:linePitch="360" w:charSpace="0"/>
        </w:sectPr>
      </w:pPr>
    </w:p>
    <w:p w14:paraId="6818AB52">
      <w:pPr>
        <w:pStyle w:val="2"/>
        <w:pageBreakBefore/>
        <w:spacing w:before="240" w:after="360"/>
        <w:jc w:val="center"/>
      </w:pPr>
      <w:bookmarkStart w:id="0" w:name="_Toc1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第一章  综合设计的进展情况</w:t>
      </w:r>
      <w:bookmarkEnd w:id="0"/>
    </w:p>
    <w:p w14:paraId="02205FD4">
      <w:pPr>
        <w:pStyle w:val="3"/>
        <w:spacing w:before="320" w:after="200"/>
      </w:pPr>
      <w:bookmarkStart w:id="1" w:name="_Toc2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1.1 针对工程问题的方案设计</w:t>
      </w:r>
      <w:bookmarkEnd w:id="1"/>
    </w:p>
    <w:p w14:paraId="0392CA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本课题承接综合设计 II 阶段的成果——基于 Go + Gin + GORM 的调度后端、五维代价模型（A 直接成本、B 时效成本、C 效率与公平成本、D 平台资源成本、E 风险成本，经 F 综合加权合成）、模拟退火全局调度算法、高德地图路径规划驱动的物理仿真引擎，以及 Vue3 + ECharts 的可视化大屏。针对任务书提出的“优化仿真参数使其更贴近真实场景、实现多目标全局优化算法、实时统计优化目标”三项主要任务，本阶段我们完成了系统的总体架构重构，将原有“单一仿真进程”升级为“实验沙箱 + 受控实验”的四层架构（图 1-1）。</w:t>
      </w:r>
    </w:p>
    <w:p w14:paraId="28FECC52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四层职责划分如下。</w:t>
      </w:r>
      <w:r>
        <w:rPr>
          <w:rFonts w:ascii="Times New Roman" w:hAnsi="Times New Roman" w:eastAsia="宋体"/>
          <w:b/>
          <w:bCs/>
          <w:sz w:val="24"/>
          <w:szCs w:val="24"/>
        </w:rPr>
        <w:t>展示层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：Vue3 + Element Plus + ECharts + 高德地图，包含沙箱管理、实验配置（表单与 TOML 双向编辑）、地图大屏（可拉入数据覆盖层）、任务管理、实验结果与实验对比页面；</w:t>
      </w:r>
      <w:r>
        <w:rPr>
          <w:rFonts w:ascii="Times New Roman" w:hAnsi="Times New Roman" w:eastAsia="宋体"/>
          <w:b/>
          <w:bCs/>
          <w:sz w:val="24"/>
          <w:szCs w:val="24"/>
        </w:rPr>
        <w:t>服务层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：Go + Gin，REST API 与 WebSocket 双通道，登录鉴权中间件保护全部业务路由；</w:t>
      </w:r>
      <w:r>
        <w:rPr>
          <w:rFonts w:ascii="Times New Roman" w:hAnsi="Times New Roman" w:eastAsia="宋体"/>
          <w:b/>
          <w:bCs/>
          <w:sz w:val="24"/>
          <w:szCs w:val="24"/>
        </w:rPr>
        <w:t>仿真运行层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：ExperimentRuntime 以单实验串行、单线程确定性 tick 驱动，内含虚拟时钟、SA 调度、随机事件引擎、全局统计引擎与种子随机源；</w:t>
      </w:r>
      <w:r>
        <w:rPr>
          <w:rFonts w:ascii="Times New Roman" w:hAnsi="Times New Roman" w:eastAsia="宋体"/>
          <w:b/>
          <w:bCs/>
          <w:sz w:val="24"/>
          <w:szCs w:val="24"/>
        </w:rPr>
        <w:t>数据与生成层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：确定性数据生成器在仿真之外预生成订单流与事件脚本，MySQL 中沙箱元数据表与 9 张运行表按 experiment_id 实现实验实例级数据隔离。</w:t>
      </w:r>
    </w:p>
    <w:p w14:paraId="3C9F5C2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架构重构遵循三条设计原则。</w:t>
      </w:r>
      <w:r>
        <w:rPr>
          <w:rFonts w:ascii="Times New Roman" w:hAnsi="Times New Roman" w:eastAsia="宋体"/>
          <w:b/>
          <w:bCs/>
          <w:sz w:val="24"/>
          <w:szCs w:val="24"/>
        </w:rPr>
        <w:t>可复现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：一切随机性收敛到单一种子 RNG，同种子同参数必得到逐位一致的结果；</w:t>
      </w:r>
      <w:r>
        <w:rPr>
          <w:rFonts w:ascii="Times New Roman" w:hAnsi="Times New Roman" w:eastAsia="宋体"/>
          <w:b/>
          <w:bCs/>
          <w:sz w:val="24"/>
          <w:szCs w:val="24"/>
        </w:rPr>
        <w:t>可观测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：八维指标体系（M/U/T/A/C/R/F/G）对调度质量、运力效率、时效、算法性能、成本、可靠性、公平性、碳排做实时统计；</w:t>
      </w:r>
      <w:r>
        <w:rPr>
          <w:rFonts w:ascii="Times New Roman" w:hAnsi="Times New Roman" w:eastAsia="宋体"/>
          <w:b/>
          <w:bCs/>
          <w:sz w:val="24"/>
          <w:szCs w:val="24"/>
        </w:rPr>
        <w:t>可扩展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：事件概率、司机行为参数、经济与交通环境全部进入配置或双层 TOML，新增事件类型不需改动调度与统计代码。</w:t>
      </w:r>
    </w:p>
    <w:p w14:paraId="29AEDC85">
      <w:pPr>
        <w:spacing w:before="160" w:after="60"/>
        <w:jc w:val="center"/>
      </w:pPr>
      <w:r>
        <w:drawing>
          <wp:inline distT="0" distB="0" distL="0" distR="0">
            <wp:extent cx="5143500" cy="31527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D148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1-1  系统总体架构（四层）</w:t>
      </w:r>
    </w:p>
    <w:p w14:paraId="21E0FFC1">
      <w:pPr>
        <w:pStyle w:val="3"/>
        <w:spacing w:before="320" w:after="200"/>
      </w:pPr>
      <w:bookmarkStart w:id="2" w:name="_Toc3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1.2 针对工程问题的推理分析与具体实现</w:t>
      </w:r>
      <w:bookmarkEnd w:id="2"/>
    </w:p>
    <w:p w14:paraId="773FE52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在明确总体架构后，本节按“司机行为真实化 → 运输过程随机事件 → 全局多目标优化 → 实时统计评价 → 实验可复现”的顺序，说明关键模块的推理过程与代码实现。</w:t>
      </w:r>
    </w:p>
    <w:p w14:paraId="7E970BC8">
      <w:pPr>
        <w:pStyle w:val="4"/>
        <w:spacing w:before="240" w:after="160"/>
      </w:pPr>
      <w:bookmarkStart w:id="3" w:name="_Toc4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1.2.1 司机对象与概率化行为状态机</w:t>
      </w:r>
      <w:bookmarkEnd w:id="3"/>
    </w:p>
    <w:p w14:paraId="59C59348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真实货运行业有两个经验事实：其一，司机对距离远、价格不划算的订单存在拒单行为，且驾驶经验越丰富拒单率与事故率越低；其二，法规要求连续驾驶 4 小时须休息不少于 20 分钟。据此，系统建立一车一司机的司机对象（driver 表：姓名、电话、驾驶证号、驾驶等级、疲劳累计、拒单计数、绑定车辆），驾驶等级（2～5 级）进入概率修正。</w:t>
      </w:r>
    </w:p>
    <w:p w14:paraId="1A078FE8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行为均以数学概率为基准：拒单按 p = 0.06 × 等级修正因子（等级从低到高对应 1.4→0.7）逐次判定，同一运单最多被拒 2 次，超过后强制接单，防止“订单永远无人接”的死循环；疲劳按连续驾驶小时数累计，达 4h 触发 20min 强制休息。拒单不是简单丢弃订单，而是一套完整回退链路：删除 Planned 任务 → 释放车辆预占载重 → 运单回退 Sleeping → 下一轮调度重新进入分配池 → 车辆状态由 Ready 回退为 Free。这一设计复用了既有的重派机制，使拒单事件对调度系统表现为“可消化的扰动”而非异常。</w:t>
      </w:r>
    </w:p>
    <w:p w14:paraId="7A6AAB33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1-1  司机拒单概率判定（random_event.go 节选）</w:t>
      </w:r>
    </w:p>
    <w:p w14:paraId="2E2D63C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发车前判定：司机有概率拒绝接单（等级修正 + 同单上限防死循环）</w:t>
      </w:r>
    </w:p>
    <w:p w14:paraId="15F0930C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refuseCount, _ := repository.CountRefuseByShipment(shipment.Id)</w:t>
      </w:r>
    </w:p>
    <w:p w14:paraId="05689B2F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refuseCount &gt;= int64(cfg.RefuseMaxPerShipment) {</w:t>
      </w:r>
    </w:p>
    <w:p w14:paraId="474E28B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false // 同一运单被拒超过上限后强制接单</w:t>
      </w:r>
    </w:p>
    <w:p w14:paraId="5878FEC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6981147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rt.Draw() &gt;= cfg.DriverRefuseProb*levelFactorOf(cfg, driver.Level) {</w:t>
      </w:r>
    </w:p>
    <w:p w14:paraId="0F5F0B0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false // 未触发拒单</w:t>
      </w:r>
    </w:p>
    <w:p w14:paraId="5DFA744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04CDA47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触发拒单：删除 Planned 任务、释放车辆预占载重、运单回退 Sleeping 等待重派</w:t>
      </w:r>
    </w:p>
    <w:p w14:paraId="753CE983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指标联动方面，拒单拉长订单响应长尾（T2 P95）、降低一次接受率（M 系），休息降低在线运力（U3）——司机行为由此成为被观测、被统计的一等公民，而非脚本化的背景噪声。</w:t>
      </w:r>
    </w:p>
    <w:p w14:paraId="682CE590">
      <w:pPr>
        <w:pStyle w:val="4"/>
        <w:spacing w:before="240" w:after="160"/>
      </w:pPr>
      <w:bookmarkStart w:id="4" w:name="_Toc5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1.2.2 运输过程随机事件引擎与统一暂停机制</w:t>
      </w:r>
      <w:bookmarkEnd w:id="4"/>
    </w:p>
    <w:p w14:paraId="1E866A6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在司机行为之外，运输过程引入两类随机事件：极端天气（p=0.0005/tick，暂停 0.5～2h，模拟暴雨封路与限行）与车祸（p=0.0002/tick × 等级因子，车辆进入新增的“维修中”状态 1～6h，在途任务挂起）。至此系统共有四类随机事件（拒单、疲劳休息、极端天气、车祸），概率与时长区间全部可配置。</w:t>
      </w:r>
    </w:p>
    <w:p w14:paraId="3A5753B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设计上的关键取舍是</w:t>
      </w:r>
      <w:r>
        <w:rPr>
          <w:rFonts w:ascii="Times New Roman" w:hAnsi="Times New Roman" w:eastAsia="宋体"/>
          <w:b/>
          <w:bCs/>
          <w:sz w:val="24"/>
          <w:szCs w:val="24"/>
        </w:rPr>
        <w:t>统一暂停机制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：三类“时间冻结”（疲劳休息/天气/维修）共用一个检查点，moveVehicle 每 tick 开头以虚拟时间比较 pause_until，未到期则本 tick 位置冻结、速度为 0，到期自动恢复。这把“事件的影响”统一抽象为“可用运力的时间窗收缩”，对调度器与统计引擎完全透明，也使暂停行为可在前端地图上被直观验证（车辆冻结、速度 0.00）。</w:t>
      </w:r>
    </w:p>
    <w:p w14:paraId="5194DA7A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1-2  统一暂停判定（vehicle.go 节选）</w:t>
      </w:r>
    </w:p>
    <w:p w14:paraId="316BB50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moveVehicle 开头：随机事件暂停窗口内（休息/极端天气）不推进，虚拟时间比较</w:t>
      </w:r>
    </w:p>
    <w:p w14:paraId="385CEC17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now := rt.Clock.Now()</w:t>
      </w:r>
    </w:p>
    <w:p w14:paraId="5FD138A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isVehiclePaused(latestVehicle, now) {</w:t>
      </w:r>
    </w:p>
    <w:p w14:paraId="37CC8FA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// pause_until 未到期：车辆位置冻结、速度为 0</w:t>
      </w:r>
    </w:p>
    <w:p w14:paraId="03EAFE4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75C4BDD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天气/车祸事件由预生成脚本驱动（consumeDueEvents），此处不再现场摇号</w:t>
      </w:r>
    </w:p>
    <w:p w14:paraId="5E20D464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每次事件写入 random_event 表（类型、车辆、司机、运单、严重度、时长、描述），前端事件流按车牌实时展示（类型着色、未解决空心），并进入 R 系可靠性指标：MTBF（平均无故障时间）、MTTR（平均修复时长）与可用性 = 1 − 停机时长 / (车队规模 × 观测窗口)，观测窗口为实验生命周期（虚拟时钟起点至今）。图 1-2 汇总了司机行为状态、运输随机事件状态机与统一暂停机制的全部参数。</w:t>
      </w:r>
    </w:p>
    <w:p w14:paraId="53B76BC5">
      <w:pPr>
        <w:spacing w:before="160" w:after="60"/>
        <w:jc w:val="center"/>
      </w:pPr>
      <w:r>
        <w:drawing>
          <wp:inline distT="0" distB="0" distL="0" distR="0">
            <wp:extent cx="5143500" cy="33242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9219B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1-2  司机行为状态与运输随机事件状态机（含概率参数）</w:t>
      </w:r>
    </w:p>
    <w:p w14:paraId="2959476F">
      <w:pPr>
        <w:pStyle w:val="4"/>
        <w:spacing w:before="240" w:after="160"/>
      </w:pPr>
      <w:bookmarkStart w:id="5" w:name="_Toc6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1.2.3 全局多目标优化机制</w:t>
      </w:r>
      <w:bookmarkEnd w:id="5"/>
    </w:p>
    <w:p w14:paraId="02E769C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第一种多目标机制是承接 II 阶段的</w:t>
      </w:r>
      <w:r>
        <w:rPr>
          <w:rFonts w:ascii="Times New Roman" w:hAnsi="Times New Roman" w:eastAsia="宋体"/>
          <w:b/>
          <w:bCs/>
          <w:sz w:val="24"/>
          <w:szCs w:val="24"/>
        </w:rPr>
        <w:t>加权标量化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：将调度决策抽象为 Cost = λ1·A + λ2·B + λ3·C + λ4·D + λ5·E 的单一可排序分数，代价项与任务书五类优化目标一一对应：车辆总体等待时间（A 的等待项与 B 的货物加权等待）、空载里程（A 的空驶项与 C 的空驶率）、车辆利用率（C 的等待运输比与 D 的运力缺口惩罚）、总运输达成吨位（D 的运力结构惩罚与吞吐统计）、碳排放（G 系）。SA 算法以 Metropolis 准则接受劣解跳出局部最优，通过 Swap/Move 邻域扰动迭代搜索全局低成本指派。</w:t>
      </w:r>
    </w:p>
    <w:p w14:paraId="14A3D05F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1-3  模拟退火 Metropolis 接受准则（sa_scheduler.go 节选）</w:t>
      </w:r>
    </w:p>
    <w:p w14:paraId="2DB0FD63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邻域扰动 + Metropolis 接受准则：以概率接受劣解，跳出局部最优</w:t>
      </w:r>
    </w:p>
    <w:p w14:paraId="676AB7F4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_, nextAssigned := generateSANeighbor(rt, currentAssigned, len(vehicles))</w:t>
      </w:r>
    </w:p>
    <w:p w14:paraId="64F2E4A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nextCost := evaluateStateCost(nextAssigned, shipments, vehicles, stats, ...)</w:t>
      </w:r>
    </w:p>
    <w:p w14:paraId="5A286AD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nextCost &lt; currentCost || math.Exp((currentCost-nextCost)/temp) &gt; rt.Draw() {</w:t>
      </w:r>
    </w:p>
    <w:p w14:paraId="4F56BC02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currentAssigned = nextAssigned</w:t>
      </w:r>
    </w:p>
    <w:p w14:paraId="0D661C3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currentCost = nextCost</w:t>
      </w:r>
    </w:p>
    <w:p w14:paraId="5AAD280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if currentCost &lt; bestCost {</w:t>
      </w:r>
    </w:p>
    <w:p w14:paraId="7D94FA1C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copy(bestAssigned, currentAssigned)</w:t>
      </w:r>
    </w:p>
    <w:p w14:paraId="63D5B03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bestCost = currentCost</w:t>
      </w:r>
    </w:p>
    <w:p w14:paraId="5B1795B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}</w:t>
      </w:r>
    </w:p>
    <w:p w14:paraId="01B31C64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11C1DBEE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真实化方面，沙箱世界规则向系统注入经济环境：A 项追加货币化里程成本（油价 × 百公里油耗 + 每公里过路费 + 人力成本），使成本从抽象分数落到可解释的货币量纲；交通环境提供分时段速度系数（高峰降速），影响每 tick 推进的里程与疲劳累计，也为后续拥堵事件提供了机制雏形。</w:t>
      </w:r>
    </w:p>
    <w:p w14:paraId="04F958B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碳排放方面，G1/G2 按车型排放因子（空驶/载重分列）乘累计里程计算总碳排与吨公里碳排强度。当前碳排以软约束形式进入实验参数（G2_carbon_max 上限），主要在结果层计量与呈现，</w:t>
      </w:r>
      <w:r>
        <w:rPr>
          <w:rFonts w:ascii="Times New Roman" w:hAnsi="Times New Roman" w:eastAsia="宋体"/>
          <w:b/>
          <w:bCs/>
          <w:sz w:val="24"/>
          <w:szCs w:val="24"/>
        </w:rPr>
        <w:t>约束式惩罚接入代价函数列入后续计划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（见 2.2 节）。</w:t>
      </w:r>
    </w:p>
    <w:p w14:paraId="5763BC1B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1-4  碳排放计算（stats.go 节选）</w:t>
      </w:r>
    </w:p>
    <w:p w14:paraId="5B5FE293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G1/G2：按车型排放因子 × 空/重载里程累计总碳排，吨公里口径核算强度</w:t>
      </w:r>
    </w:p>
    <w:p w14:paraId="554A73F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for _, v := range vehicles {</w:t>
      </w:r>
    </w:p>
    <w:p w14:paraId="429BD18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fEmpty, fLoad := defaultEmissionFactors(v.Tybe)</w:t>
      </w:r>
    </w:p>
    <w:p w14:paraId="529ADFC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totalCarbon += v.EmptyMileage*fEmpty + v.Distance*fLoad</w:t>
      </w:r>
    </w:p>
    <w:p w14:paraId="4300DCD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44F6937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s.CarbonStats.CarbonPerTonKm = totalCarbon / s.TransportWorkStats.TotalTonDistance</w:t>
      </w:r>
    </w:p>
    <w:p w14:paraId="5B3BA9DF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第二种多目标机制是</w:t>
      </w:r>
      <w:r>
        <w:rPr>
          <w:rFonts w:ascii="Times New Roman" w:hAnsi="Times New Roman" w:eastAsia="宋体"/>
          <w:b/>
          <w:bCs/>
          <w:sz w:val="24"/>
          <w:szCs w:val="24"/>
        </w:rPr>
        <w:t>主目标/软约束分层框架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：不追求单一分数，而是将优化对象显式分层为 4 项主目标（C2 单位成本↓、U2 载重利用率↑、U4 空驶率↓、T2 响应 P95↓）与 2 项软约束（F1 负载基尼≤0.4、G2 吨公里碳排），实验结果页按此六项做主指标对比；配合同种子跨参数批次的对比实验（参数 TOML 分栏 Diff + 结果对比页），等价于对多目标权衡的受控敏感性实验（图 1-3）。帕累托类机制（ε-约束/NSGA-II）尚未实现，作为“优”档的增强项列入计划。</w:t>
      </w:r>
    </w:p>
    <w:p w14:paraId="283E4838">
      <w:pPr>
        <w:spacing w:before="160" w:after="60"/>
        <w:jc w:val="center"/>
      </w:pPr>
      <w:r>
        <w:drawing>
          <wp:inline distT="0" distB="0" distL="0" distR="0">
            <wp:extent cx="5143500" cy="298132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4B5E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1-3  多目标优化对象与八维指标体系支撑关系</w:t>
      </w:r>
    </w:p>
    <w:p w14:paraId="0E216277">
      <w:pPr>
        <w:pStyle w:val="4"/>
        <w:spacing w:before="240" w:after="160"/>
      </w:pPr>
      <w:bookmarkStart w:id="6" w:name="_Toc7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1.2.4 优化目标的实时统计与匹配质量评价</w:t>
      </w:r>
      <w:bookmarkEnd w:id="6"/>
    </w:p>
    <w:p w14:paraId="388AE10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实时统计链路为：CalculateGlobalStats（每虚拟 tick 全量计算）→ BuildRealtimeDashboard（汇总为 RealtimeSummary）→ WebSocket /ws/stats 每 3 真实秒推送（前端 15s 轮询兜底）；每 6 虚拟 tick（默认 1 虚拟分钟）将十七项核心指标写入 metric_snapshot 表（按 experiment_id 隔离），支撑实验结束后的收敛曲线与分位数分析。任务书“实现对优化目标的实时统计”以此完成。前端层面，运行期指标以地图数据覆盖层呈现（运行健康、运力效率趋势、Top3 最值榜、车辆状态构成、调配效率五维雷达、最终优化指标值与随机事件流），实验结束后结果页按 M/U/T/A/C/R/G + 事件积压八组卡片呈现终态。</w:t>
      </w:r>
    </w:p>
    <w:p w14:paraId="4AD177C0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全局优化算法的质量不能只看成本曲线自说自话。我们为调度质量建立了基于</w:t>
      </w:r>
      <w:r>
        <w:rPr>
          <w:rFonts w:ascii="Times New Roman" w:hAnsi="Times New Roman" w:eastAsia="宋体"/>
          <w:b/>
          <w:bCs/>
          <w:sz w:val="24"/>
          <w:szCs w:val="24"/>
        </w:rPr>
        <w:t>条件最优参考答案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的评价体系：固定一批 SA 派单的其余指派不变，将某一运单改派给任一候选车后重新评估整批成本，取最低者为该单的条件最优车（ground truth）。相比全局精确枚举（20 辆车队组合爆炸），条件枚举复杂度仅 O(运单数 × 车辆数)，任意批次规模均可实时完成。据此统计 M1 精确率（选中恰为条件最优）、M2 召回率（分母含未派单运单）、M3 F1、M4 MRR（选中车排名倒数均值），并把每单 Top8 候选排名回填匹配日志供离线复盘（图 1-4）。</w:t>
      </w:r>
    </w:p>
    <w:p w14:paraId="29D4279B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1-5  条件最优参考答案评估（matching_quality.go 节选）</w:t>
      </w:r>
    </w:p>
    <w:p w14:paraId="5D81BE4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固定其余指派，逐单改派各候选车评估整批成本，取最低者为 ground truth</w:t>
      </w:r>
    </w:p>
    <w:p w14:paraId="7C213A5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copy(variant, saIdx)</w:t>
      </w:r>
    </w:p>
    <w:p w14:paraId="74AEA552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for vi := range vehicles {</w:t>
      </w:r>
    </w:p>
    <w:p w14:paraId="39DFF66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variant[i] = vi</w:t>
      </w:r>
    </w:p>
    <w:p w14:paraId="7A6C912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cands = append(cands, qualityCand{vi,</w:t>
      </w:r>
    </w:p>
    <w:p w14:paraId="744A622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evaluateStateCost(variant, shipments, vehicles, stats, ...)})</w:t>
      </w:r>
    </w:p>
    <w:p w14:paraId="5257C89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40D02BF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sort.Slice(cands, func(a, b int) bool { return cands[a].cost &lt; cands[b].cost })</w:t>
      </w:r>
    </w:p>
    <w:p w14:paraId="6524EB1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排名首位即条件最优车；SA 实际选中车的位次进入 M1/M4 统计</w:t>
      </w:r>
    </w:p>
    <w:p w14:paraId="5B25B77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在算法性能维度，同批次重放“贪心首可行”基线，C1 = (基线成本 − SA 成本)/基线成本 × 100%，直接量化 SA 相对朴素策略的改善幅度；A2 记录每批求解耗时（批数/均值/峰值）；A3 在小规模（≤4 单 ≤6 车）时做精确枚举 gap 估算。可靠性维度（R1-R3 及事件计数）已在 1.2.2 节说明。至此，调度质量的评价形成“在线指标实时可见 + 离线日志可复盘”的双层证据链。</w:t>
      </w:r>
    </w:p>
    <w:p w14:paraId="09BACAAC">
      <w:pPr>
        <w:spacing w:before="160" w:after="60"/>
        <w:jc w:val="center"/>
      </w:pPr>
      <w:r>
        <w:drawing>
          <wp:inline distT="0" distB="0" distL="0" distR="0">
            <wp:extent cx="5143500" cy="254317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6CD6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1-4  基于条件最优参考答案的匹配质量评价闭环</w:t>
      </w:r>
    </w:p>
    <w:p w14:paraId="760FF9AD">
      <w:pPr>
        <w:pStyle w:val="4"/>
        <w:spacing w:before="240" w:after="160"/>
      </w:pPr>
      <w:bookmarkStart w:id="7" w:name="_Toc8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1.2.5 实验沙箱与确定性复现</w:t>
      </w:r>
      <w:bookmarkEnd w:id="7"/>
    </w:p>
    <w:p w14:paraId="2103D14E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仿真实验若不可复现，则一切“算法 A 优于算法 B”的结论都不成立。本阶段我们把“实验”本身作为设计对象，建立四级模型：</w:t>
      </w:r>
      <w:r>
        <w:rPr>
          <w:rFonts w:ascii="Times New Roman" w:hAnsi="Times New Roman" w:eastAsia="宋体"/>
          <w:b/>
          <w:bCs/>
          <w:sz w:val="24"/>
          <w:szCs w:val="24"/>
        </w:rPr>
        <w:t>User（研究者）→ Sandbox（世界设定：POI/车队/货类白名单）→ ExperimentScheme（参数模板）→ Experiment（批次：参数快照 + 种子 + 结果）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，参数采用双层 TOML（沙箱世界规则 / 实验参数）描述（图 1-5）。</w:t>
      </w:r>
    </w:p>
    <w:p w14:paraId="60309DA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三件事保证严格复现。其一，虚拟时钟：仿真时间 = 起点 + tick 数 × 步长，与真实时钟解耦，倍速只改变真实世界的 tick 触发频率；其二，单线程确定性 tick：主循环每 tick 按固定顺序执行“释放订单→SA 派单→消费事件脚本→恢复维修/休息→移动→快照”，全部随机性来自单一种子 RNG，SA 的随机邻域、司机等级、事件触发同源；其三，确定性数据生成器：在仿真系统之外按“世界规则 + 实验参数 + 种子”预生成订单流（泊松/均匀到达）与随机事件脚本，同种子同参数输出逐字节一致（单测断言），并以 DataGeneratorVersion（v2）防止旧种子误导入。</w:t>
      </w:r>
    </w:p>
    <w:p w14:paraId="1426EFA1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1-6  虚拟时钟（virtual_clock.go 节选）</w:t>
      </w:r>
    </w:p>
    <w:p w14:paraId="52C68BBB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虚拟时间 = 起点 + tick 数 × 步长；倍速只改变真实世界的 tick 触发频率</w:t>
      </w:r>
    </w:p>
    <w:p w14:paraId="128E0F4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func (c *VirtualClock) Now() time.Time {</w:t>
      </w:r>
    </w:p>
    <w:p w14:paraId="5C3B58CF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c.start.Add(time.Duration(c.tick.Load()*c.tickSeconds) * time.Second)</w:t>
      </w:r>
    </w:p>
    <w:p w14:paraId="47FF7B6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2F53AA24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复现性已得到实证：同种子两次完整实验的调度总成本逐位一致（35025.80213604554）。工程配套上，9 张运行表增加 experiment_id 维度列（0=沙箱模板态、&gt;0=实验实例）实现数据隔离；实验启动时从车队模板实例化专属车辆与司机；登录鉴权与内存 token 保护全部业务路由与 WebSocket。测试环境方面，task 包测试强制读独立的 config-test.yml 测试库，解决了误伤生产数据库的后顾之忧；生成器与纯函数模块均有单元测试覆盖。</w:t>
      </w:r>
    </w:p>
    <w:p w14:paraId="13FBB80E">
      <w:pPr>
        <w:spacing w:before="160" w:after="60"/>
        <w:jc w:val="center"/>
      </w:pPr>
      <w:r>
        <w:drawing>
          <wp:inline distT="0" distB="0" distL="0" distR="0">
            <wp:extent cx="5143500" cy="27241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DB3A4">
      <w:pPr>
        <w:spacing w:after="240"/>
        <w:jc w:val="center"/>
        <w:rPr>
          <w:rFonts w:ascii="Times New Roman" w:hAnsi="Times New Roman" w:eastAsia="黑体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黑体"/>
          <w:b/>
          <w:bCs/>
          <w:sz w:val="21"/>
          <w:szCs w:val="21"/>
        </w:rPr>
        <w:t>图 1-5  实验沙箱流程与复现机制</w:t>
      </w:r>
      <w:bookmarkStart w:id="17" w:name="_GoBack"/>
      <w:bookmarkEnd w:id="17"/>
      <w:bookmarkStart w:id="8" w:name="_Toc9"/>
    </w:p>
    <w:p w14:paraId="27F79434">
      <w:pPr>
        <w:pStyle w:val="3"/>
        <w:spacing w:before="320" w:after="200"/>
      </w:pPr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1.3 知识技能学习情况</w:t>
      </w:r>
      <w:bookmarkEnd w:id="8"/>
    </w:p>
    <w:p w14:paraId="474D896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在本阶段开发中，团队成员在工程实践上获得了显著提升：</w:t>
      </w:r>
      <w:r>
        <w:rPr>
          <w:rFonts w:ascii="Times New Roman" w:hAnsi="Times New Roman" w:eastAsia="宋体"/>
          <w:b/>
          <w:bCs/>
          <w:sz w:val="24"/>
          <w:szCs w:val="24"/>
        </w:rPr>
        <w:t>1. 确定性系统设计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：理解了“可复现是仿真实验的生命线”，掌握 RNG 消费序控制、虚拟时钟与单线程 tick 的组合技术；</w:t>
      </w:r>
      <w:r>
        <w:rPr>
          <w:rFonts w:ascii="Times New Roman" w:hAnsi="Times New Roman" w:eastAsia="宋体"/>
          <w:b/>
          <w:bCs/>
          <w:sz w:val="24"/>
          <w:szCs w:val="24"/>
        </w:rPr>
        <w:t>2. 测试驱动开发与测试环境构造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：独立测试库隔离、纯函数桩运行时、字节级一致性断言；</w:t>
      </w:r>
      <w:r>
        <w:rPr>
          <w:rFonts w:ascii="Times New Roman" w:hAnsi="Times New Roman" w:eastAsia="宋体"/>
          <w:b/>
          <w:bCs/>
          <w:sz w:val="24"/>
          <w:szCs w:val="24"/>
        </w:rPr>
        <w:t>3. 概率建模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：泊松订单流、逐 tick 伯努利事件、等级修正因子的工程化落地；</w:t>
      </w:r>
      <w:r>
        <w:rPr>
          <w:rFonts w:ascii="Times New Roman" w:hAnsi="Times New Roman" w:eastAsia="宋体"/>
          <w:b/>
          <w:bCs/>
          <w:sz w:val="24"/>
          <w:szCs w:val="24"/>
        </w:rPr>
        <w:t>4. 多目标优化理论向工程的转化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：标量化、主/软约束分层，并将检索评价的 P/R/F1/MRR 思想迁移到调度质量评价；</w:t>
      </w:r>
      <w:r>
        <w:rPr>
          <w:rFonts w:ascii="Times New Roman" w:hAnsi="Times New Roman" w:eastAsia="宋体"/>
          <w:b/>
          <w:bCs/>
          <w:sz w:val="24"/>
          <w:szCs w:val="24"/>
        </w:rPr>
        <w:t>5. 前端工程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：WebSocket 实时推送、覆盖层交互动画、自实现 LCS 行级分栏 Diff；</w:t>
      </w:r>
      <w:r>
        <w:rPr>
          <w:rFonts w:ascii="Times New Roman" w:hAnsi="Times New Roman" w:eastAsia="宋体"/>
          <w:b/>
          <w:bCs/>
          <w:sz w:val="24"/>
          <w:szCs w:val="24"/>
        </w:rPr>
        <w:t>6. 数据建模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：维度列隔离、参数快照、种子导入导出的可重放实验设计。</w:t>
      </w:r>
    </w:p>
    <w:p w14:paraId="48948F9A">
      <w:pPr>
        <w:pStyle w:val="2"/>
        <w:pageBreakBefore/>
        <w:spacing w:before="240" w:after="360"/>
        <w:jc w:val="center"/>
      </w:pPr>
      <w:bookmarkStart w:id="9" w:name="_Toc10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第二章  存在问题与解决方案</w:t>
      </w:r>
      <w:bookmarkEnd w:id="9"/>
    </w:p>
    <w:p w14:paraId="583B1494">
      <w:pPr>
        <w:pStyle w:val="3"/>
        <w:spacing w:before="320" w:after="200"/>
      </w:pPr>
      <w:bookmarkStart w:id="10" w:name="_Toc11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2.1 存在的主要问题</w:t>
      </w:r>
      <w:bookmarkEnd w:id="10"/>
    </w:p>
    <w:p w14:paraId="60CDC83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（1）货物材料需求发生链条尚未实现。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任务书 1.1 要求实现货物材料加工场景的吨位/方量变化趋势与至少一条需求发生链条（如“原木—木材—板材—家具”）。当前订单流为各货类独立的泊松到达，货类之间没有上下游传导关系，“家具厂的订单会拉动板材厂”这类供应链因果尚未建模。这是当前与任务书要求差距最明确的一项。</w:t>
      </w:r>
    </w:p>
    <w:p w14:paraId="32E95F6C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（2）事件与状态数量距“优”档有缺口。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现有司机行为状态 3 种（可用、拒单、休息中）加维修联动，随机事件 4 类（拒单、疲劳休息、极端天气、车祸）。任务书评价标准“优”档要求司机行为状态 5 种以上、随机事件 5 种以上，还差 1～2 类（缺货、货损、交通拥堵等）。</w:t>
      </w:r>
    </w:p>
    <w:p w14:paraId="1FA81D1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（3）多目标机制形态待丰富。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现有加权标量化与主/软约束分层两种机制已满足“至少 2 种”的下限，但缺乏帕累托前沿类机制，无法回答“权重 λ 变化下解集如何权衡”这一更深层问题；碳排目前只在结果层计量，未形成对派单的约束力。</w:t>
      </w:r>
    </w:p>
    <w:p w14:paraId="22CDFF6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（4）评价口径的固有局限。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全局精确最优在 20 辆车队下组合爆炸，M1-M4 采用条件最优口径（弱于全局最优）；A3 精确 gap 仅在小规模时启用。评价体系存在“以弱口径自证”的理论局限，需在报告与答辩中如实说明。</w:t>
      </w:r>
    </w:p>
    <w:p w14:paraId="33BF0469">
      <w:pPr>
        <w:pStyle w:val="3"/>
        <w:spacing w:before="320" w:after="200"/>
      </w:pPr>
      <w:bookmarkStart w:id="11" w:name="_Toc12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2.2 解决方案</w:t>
      </w:r>
      <w:bookmarkEnd w:id="11"/>
    </w:p>
    <w:p w14:paraId="3FCD3F6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（1）需求链条（对应问题 1）：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设计如图 2-1 的传导规则，在数据生成器实现：基础需求按泊松独立到达；上游节点订单成交后以概率 β 经加工延迟 L 触发下游补货订单；下游吨位按产出率 α 折算（体现加工损耗）；链条拓扑与 α/β/L 参数写入世界规则 TOML，生成器版本升 v3 并保持逐字节可复现。POI 库已含家具/建材/五金类真实工厂与市场（1146 个成都 POI），链条起点/终点可直接落在真实坐标上。</w:t>
      </w:r>
    </w:p>
    <w:p w14:paraId="3F879216">
      <w:pPr>
        <w:spacing w:before="160" w:after="60"/>
        <w:jc w:val="center"/>
      </w:pPr>
      <w:r>
        <w:drawing>
          <wp:inline distT="0" distB="0" distL="0" distR="0">
            <wp:extent cx="4762500" cy="212407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1330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2-1  货物材料需求发生链条设计（后续实现方案）</w:t>
      </w:r>
    </w:p>
    <w:p w14:paraId="49ACBF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（2）事件补齐（对应问题 2）：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新增三类事件——缺货（装货节点库存不足，延迟装货形成额外等待）、货损（运输中部分货损，送达吨位折减，影响吞吐与成本）、交通拥堵（在分时段速度系数基础上叠加随机拥堵路段，降速不改道）。加上现有 4 类达 7 类；司机行为状态增加“请假”后达 5 种，满足“优”档数量要求。</w:t>
      </w:r>
    </w:p>
    <w:p w14:paraId="60727C06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（3）帕累托机制（对应问题 3）：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在加权法之外实现 ε-约束法变体：固定 C2 为主目标，将 U4 空驶率、T2 P95 作为 ε 约束边界，扫描 ε 网格生成近似帕累托前沿；实验参数开放 λ 权重与 ε 边界，用同种子批次做受控对比。碳排约束：G2_carbon_max 收紧时向 Cost 追加超限惩罚项。</w:t>
      </w:r>
    </w:p>
    <w:p w14:paraId="16A2CB03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（4）口径补强（对应问题 4）：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小批次保留精确枚举 gap 作“锚点”校验条件最优口径的偏差；报告与答辩中所有结论均注明口径与局限。</w:t>
      </w:r>
    </w:p>
    <w:p w14:paraId="39C0C45B">
      <w:pPr>
        <w:pStyle w:val="2"/>
        <w:pageBreakBefore/>
        <w:spacing w:before="240" w:after="360"/>
        <w:jc w:val="center"/>
      </w:pPr>
      <w:bookmarkStart w:id="12" w:name="_Toc13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第三章  前期任务完成度与后续实施计划</w:t>
      </w:r>
      <w:bookmarkEnd w:id="12"/>
    </w:p>
    <w:p w14:paraId="6D32CA29">
      <w:pPr>
        <w:pStyle w:val="3"/>
        <w:spacing w:before="320" w:after="200"/>
      </w:pPr>
      <w:bookmarkStart w:id="13" w:name="_Toc14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3.1 任务书要求完成度对照</w:t>
      </w:r>
      <w:bookmarkEnd w:id="13"/>
    </w:p>
    <w:p w14:paraId="5038D34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按任务书主要任务逐项对照当前实现状态如表 3-1 所示。</w:t>
      </w:r>
    </w:p>
    <w:p w14:paraId="7A8A682E">
      <w:pPr>
        <w:spacing w:before="160" w:after="12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表 3-1  任务书主要任务完成度对照</w:t>
      </w:r>
    </w:p>
    <w:tbl>
      <w:tblPr>
        <w:tblStyle w:val="12"/>
        <w:tblW w:w="5000" w:type="pct"/>
        <w:tblInd w:w="0" w:type="dxa"/>
        <w:tblBorders>
          <w:top w:val="single" w:color="000000" w:sz="14" w:space="0"/>
          <w:left w:val="none" w:color="FFFFFF" w:sz="0" w:space="0"/>
          <w:bottom w:val="single" w:color="000000" w:sz="1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3"/>
        <w:gridCol w:w="1827"/>
        <w:gridCol w:w="4153"/>
        <w:gridCol w:w="1163"/>
      </w:tblGrid>
      <w:tr w14:paraId="58D69BAC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53B0EE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任务书条目</w:t>
            </w:r>
          </w:p>
        </w:tc>
        <w:tc>
          <w:tcPr>
            <w:tcW w:w="11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B4141E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要求</w:t>
            </w:r>
          </w:p>
        </w:tc>
        <w:tc>
          <w:tcPr>
            <w:tcW w:w="25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2FC9B9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本阶段实现</w:t>
            </w:r>
          </w:p>
        </w:tc>
        <w:tc>
          <w:tcPr>
            <w:tcW w:w="7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18A63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状态</w:t>
            </w:r>
          </w:p>
        </w:tc>
      </w:tr>
      <w:tr w14:paraId="0975D277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5C265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1.1 需求链条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1CF05D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吨位/方量变化趋势，至少 1 条链条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A656F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订单流泊松到达已实现；链条传导规则已设计（图 2-1），编码列入计划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98BFC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部分完成</w:t>
            </w:r>
          </w:p>
        </w:tc>
      </w:tr>
      <w:tr w14:paraId="559F0DB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D73BB2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1.2 司机行为状态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F8924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至少 2 种，数学概率基准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C613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拒单（p=0.06×等级修正）、疲劳休息（4h/20min）、维修联动；增加请假状态后达 5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1C148F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  <w:tr w14:paraId="6D93DAF4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79FE1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1.3 运输随机事件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CCD0B9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至少 2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3E485C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极端天气、车祸 2 类已实现（另有司机侧拒单/休息）；补齐缺货/货损/拥堵后达 7 类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FD0AEB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  <w:tr w14:paraId="3FD576DA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1D5F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1.4 实时统计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A11617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对优化目标实时统计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C0D55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八维指标体系 + WS 3s 推送 + 每 6 tick 快照落库 + 匹配质量/可靠性评价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97CC3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已完成</w:t>
            </w:r>
          </w:p>
        </w:tc>
      </w:tr>
      <w:tr w14:paraId="322E9E1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52CBA5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2 全局多目标优化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1DF96E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多目标机制至少 2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50192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SA 全局批量调度；机制一：Cost A–F 加权标量化；机制二：4 主目标 + 2 软约束分层与同种子受控对比；帕累托机制列入计划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ABACA0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</w:tbl>
    <w:p w14:paraId="472D5662">
      <w:pPr>
        <w:spacing w:before="0" w:after="120"/>
      </w:pPr>
    </w:p>
    <w:p w14:paraId="7540A8C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对照任务书“优”档标准（司机状态 ≥5 种、随机事件 ≥5 种、多目标机制 &gt;3 种），当前处于“良”向“优”推进的中段：实时统计与全局优化主链已达“优”档工作量，缺口集中在需求链条与事件/机制数量，方案与排期均已明确。</w:t>
      </w:r>
    </w:p>
    <w:p w14:paraId="5C3C8FF1">
      <w:pPr>
        <w:pStyle w:val="3"/>
        <w:spacing w:before="320" w:after="200"/>
      </w:pPr>
      <w:bookmarkStart w:id="14" w:name="_Toc15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3.2 后续实施计划</w:t>
      </w:r>
      <w:bookmarkEnd w:id="14"/>
    </w:p>
    <w:p w14:paraId="3EBA2B08">
      <w:pPr>
        <w:spacing w:before="160" w:after="12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表 3-2  后续实施计划</w:t>
      </w:r>
    </w:p>
    <w:tbl>
      <w:tblPr>
        <w:tblStyle w:val="12"/>
        <w:tblW w:w="5000" w:type="pct"/>
        <w:tblInd w:w="0" w:type="dxa"/>
        <w:tblBorders>
          <w:top w:val="single" w:color="000000" w:sz="14" w:space="0"/>
          <w:left w:val="none" w:color="FFFFFF" w:sz="0" w:space="0"/>
          <w:bottom w:val="single" w:color="000000" w:sz="1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"/>
        <w:gridCol w:w="1827"/>
        <w:gridCol w:w="5482"/>
      </w:tblGrid>
      <w:tr w14:paraId="4DFA5536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CF615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时间</w:t>
            </w:r>
          </w:p>
        </w:tc>
        <w:tc>
          <w:tcPr>
            <w:tcW w:w="11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2CC91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工作项</w:t>
            </w:r>
          </w:p>
        </w:tc>
        <w:tc>
          <w:tcPr>
            <w:tcW w:w="33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22CFFC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关键产出</w:t>
            </w:r>
          </w:p>
        </w:tc>
      </w:tr>
      <w:tr w14:paraId="4172F8E1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C23907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1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B1C12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需求发生链条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72684B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生成器 v3（α/β/L 传导）、TOML 规则、链条订单回归测试</w:t>
            </w:r>
          </w:p>
        </w:tc>
      </w:tr>
      <w:tr w14:paraId="28CBA54C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B01CA2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2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0C482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事件补齐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6D5AF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缺货/货损/拥堵三类事件 + 请假状态，事件数达 7、状态数达 5</w:t>
            </w:r>
          </w:p>
        </w:tc>
      </w:tr>
      <w:tr w14:paraId="73BF6751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46F2E7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3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C9338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帕累托多目标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25EC9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ε-约束扫描、近似帕累托前沿、λ/ε 参数面板、碳排超限惩罚接入</w:t>
            </w:r>
          </w:p>
        </w:tc>
      </w:tr>
      <w:tr w14:paraId="523BF04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50A254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4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3C9ECD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实验与结题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D1BD23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多组参数批次实验、对比分析、结题报告与答辩材料</w:t>
            </w:r>
          </w:p>
        </w:tc>
      </w:tr>
    </w:tbl>
    <w:p w14:paraId="7B946730">
      <w:pPr>
        <w:spacing w:before="0" w:after="120"/>
      </w:pPr>
    </w:p>
    <w:p w14:paraId="30B28521">
      <w:pPr>
        <w:pStyle w:val="3"/>
        <w:spacing w:before="320" w:after="200"/>
      </w:pPr>
      <w:bookmarkStart w:id="15" w:name="_Toc16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3.3 团队分工</w:t>
      </w:r>
      <w:bookmarkEnd w:id="15"/>
    </w:p>
    <w:p w14:paraId="5B8F2C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本阶段的方案设计（指标体系选型、优化对象框架、沙箱总体架构、展示规范）由全体小组集体讨论完成，编码实现按六个工作包推进：</w:t>
      </w:r>
    </w:p>
    <w:p w14:paraId="6EAAD228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丁宁：</w:t>
      </w:r>
      <w:r>
        <w:rPr>
          <w:rFonts w:ascii="Times New Roman" w:hAnsi="Times New Roman" w:eastAsia="宋体"/>
          <w:b/>
          <w:bCs/>
          <w:sz w:val="24"/>
          <w:szCs w:val="24"/>
        </w:rPr>
        <w:t>统计计算引擎与指标落地（后端）：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统计链路、M/U/T/A/C/R/F/G 八维指标、匹配质量评价；</w:t>
      </w:r>
    </w:p>
    <w:p w14:paraId="637552E8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李韦成：</w:t>
      </w:r>
      <w:r>
        <w:rPr>
          <w:rFonts w:ascii="Times New Roman" w:hAnsi="Times New Roman" w:eastAsia="宋体"/>
          <w:b/>
          <w:bCs/>
          <w:sz w:val="24"/>
          <w:szCs w:val="24"/>
        </w:rPr>
        <w:t>司机与随机事件引擎（后端）：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司机对象、四类事件状态机、统一暂停机制；</w:t>
      </w:r>
    </w:p>
    <w:p w14:paraId="1860F6B3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胡天琦：</w:t>
      </w:r>
      <w:r>
        <w:rPr>
          <w:rFonts w:ascii="Times New Roman" w:hAnsi="Times New Roman" w:eastAsia="宋体"/>
          <w:b/>
          <w:bCs/>
          <w:sz w:val="24"/>
          <w:szCs w:val="24"/>
        </w:rPr>
        <w:t>运行期指标展示（前端）：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地图数据覆盖层、八组卡片、事件流时间线；</w:t>
      </w:r>
    </w:p>
    <w:p w14:paraId="2E129CB6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万飞翔：</w:t>
      </w:r>
      <w:r>
        <w:rPr>
          <w:rFonts w:ascii="Times New Roman" w:hAnsi="Times New Roman" w:eastAsia="宋体"/>
          <w:b/>
          <w:bCs/>
          <w:sz w:val="24"/>
          <w:szCs w:val="24"/>
        </w:rPr>
        <w:t>沙箱数据模型与鉴权（后端）：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四级模型、维度隔离迁移、双层 TOML、登录鉴权；</w:t>
      </w:r>
    </w:p>
    <w:p w14:paraId="1D0F760B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胡杨：</w:t>
      </w:r>
      <w:r>
        <w:rPr>
          <w:rFonts w:ascii="Times New Roman" w:hAnsi="Times New Roman" w:eastAsia="宋体"/>
          <w:b/>
          <w:bCs/>
          <w:sz w:val="24"/>
          <w:szCs w:val="24"/>
        </w:rPr>
        <w:t>沙箱引擎与全套 API（后端）：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实验运行时、虚拟时钟、确定性生成器、对比接口；</w:t>
      </w:r>
    </w:p>
    <w:p w14:paraId="2386C3B5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华观中：</w:t>
      </w:r>
      <w:r>
        <w:rPr>
          <w:rFonts w:ascii="Times New Roman" w:hAnsi="Times New Roman" w:eastAsia="宋体"/>
          <w:b/>
          <w:bCs/>
          <w:sz w:val="24"/>
          <w:szCs w:val="24"/>
        </w:rPr>
        <w:t>沙箱页面流与结果工具链（前端）：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沙箱/实验页面流、参数分栏 Diff、报告导出。</w:t>
      </w:r>
    </w:p>
    <w:p w14:paraId="29C1E9A7">
      <w:pPr>
        <w:pStyle w:val="2"/>
        <w:pageBreakBefore/>
        <w:spacing w:before="240" w:after="360"/>
        <w:jc w:val="center"/>
      </w:pPr>
      <w:bookmarkStart w:id="16" w:name="_Toc17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参考文献</w:t>
      </w:r>
      <w:bookmarkEnd w:id="16"/>
    </w:p>
    <w:p w14:paraId="69454FC6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[1]  进阶式挑战性综合项目 III 课题任务书——运输车辆调度优化与仿真. 电子科技大学信息与软件工程学院, 2026.</w:t>
      </w:r>
    </w:p>
    <w:p w14:paraId="7CF8428F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[2]  GIN TEAM. Gin Web Framework[EB/OL]. (2015-04-04)[2026-09-25]. https://github.com/gin-gonic/gin.</w:t>
      </w:r>
    </w:p>
    <w:p w14:paraId="17E6BFF9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[3]  APACHE SOFTWARE FOUNDATION. Apache ECharts[EB/OL]. (2013)[2026-09-25]. https://echarts.apache.org/.</w:t>
      </w:r>
    </w:p>
    <w:p w14:paraId="7D96E0F6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[4]  IETF. RFC 6455: The WebSocket Protocol[S/OL]. (2011-12)[2026-09-25]. https://datatracker.ietf.org/doc/html/rfc6455.</w:t>
      </w:r>
    </w:p>
    <w:p w14:paraId="50D8BF3C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[5]  KIRKPATRICK S, GELATT C D, VECCHI M P. Optimization by Simulated Annealing[J]. Science, 1983, 220(4598): 671-680.</w:t>
      </w:r>
    </w:p>
    <w:p w14:paraId="1F20558A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[6]  JINZHU Z. GORM: The fantastic ORM library for Golang[EB/OL]. [2026-09-25]. https://gorm.io.</w:t>
      </w:r>
    </w:p>
    <w:p w14:paraId="10E13580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[7]  YOU E. Vue.js: The Progressive JavaScript Framework[EB/OL]. (2014)[2026-09-25]. https://vuejs.org.</w:t>
      </w:r>
    </w:p>
    <w:p w14:paraId="31B989C5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[8]  高德开放平台. Web 服务 API 文档[EB/OL]. [2026-09-25]. https://lbs.amap.com.</w:t>
      </w:r>
    </w:p>
    <w:sectPr>
      <w:headerReference r:id="rId7" w:type="default"/>
      <w:footerReference r:id="rId8" w:type="default"/>
      <w:pgSz w:w="11906" w:h="16838"/>
      <w:pgMar w:top="1440" w:right="1800" w:bottom="1440" w:left="1800" w:header="708" w:footer="708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AEE96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26709F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E30A75">
    <w:pPr>
      <w:jc w:val="center"/>
    </w:pPr>
    <w:r>
      <w:rPr>
        <w:rFonts w:ascii="Times New Roman" w:hAnsi="Times New Roman" w:eastAsia="宋体"/>
        <w:sz w:val="18"/>
        <w:szCs w:val="18"/>
      </w:rPr>
      <w:t xml:space="preserve">第 </w:t>
    </w:r>
    <w:r>
      <w:rPr>
        <w:rFonts w:ascii="Times New Roman" w:hAnsi="Times New Roman" w:eastAsia="宋体"/>
        <w:sz w:val="18"/>
        <w:szCs w:val="18"/>
      </w:rPr>
      <w:fldChar w:fldCharType="begin"/>
    </w:r>
    <w:r>
      <w:rPr>
        <w:rFonts w:ascii="Times New Roman" w:hAnsi="Times New Roman" w:eastAsia="宋体"/>
        <w:sz w:val="18"/>
        <w:szCs w:val="18"/>
      </w:rPr>
      <w:instrText xml:space="preserve">PAGE</w:instrText>
    </w:r>
    <w:r>
      <w:rPr>
        <w:rFonts w:ascii="Times New Roman" w:hAnsi="Times New Roman" w:eastAsia="宋体"/>
        <w:sz w:val="18"/>
        <w:szCs w:val="18"/>
      </w:rPr>
      <w:fldChar w:fldCharType="separate"/>
    </w:r>
    <w:r>
      <w:rPr>
        <w:rFonts w:ascii="Times New Roman" w:hAnsi="Times New Roman" w:eastAsia="宋体"/>
        <w:sz w:val="18"/>
        <w:szCs w:val="18"/>
      </w:rPr>
      <w:fldChar w:fldCharType="end"/>
    </w:r>
    <w:r>
      <w:rPr>
        <w:rFonts w:ascii="Times New Roman" w:hAnsi="Times New Roman" w:eastAsia="宋体"/>
        <w:sz w:val="18"/>
        <w:szCs w:val="18"/>
      </w:rPr>
      <w:t xml:space="preserve"> 页，共 </w:t>
    </w:r>
    <w:r>
      <w:rPr>
        <w:rFonts w:ascii="Times New Roman" w:hAnsi="Times New Roman" w:eastAsia="宋体"/>
        <w:sz w:val="18"/>
        <w:szCs w:val="18"/>
      </w:rPr>
      <w:fldChar w:fldCharType="begin"/>
    </w:r>
    <w:r>
      <w:rPr>
        <w:rFonts w:ascii="Times New Roman" w:hAnsi="Times New Roman" w:eastAsia="宋体"/>
        <w:sz w:val="18"/>
        <w:szCs w:val="18"/>
      </w:rPr>
      <w:instrText xml:space="preserve">NUMPAGES</w:instrText>
    </w:r>
    <w:r>
      <w:rPr>
        <w:rFonts w:ascii="Times New Roman" w:hAnsi="Times New Roman" w:eastAsia="宋体"/>
        <w:sz w:val="18"/>
        <w:szCs w:val="18"/>
      </w:rPr>
      <w:fldChar w:fldCharType="separate"/>
    </w:r>
    <w:r>
      <w:rPr>
        <w:rFonts w:ascii="Times New Roman" w:hAnsi="Times New Roman" w:eastAsia="宋体"/>
        <w:sz w:val="18"/>
        <w:szCs w:val="18"/>
      </w:rPr>
      <w:fldChar w:fldCharType="end"/>
    </w:r>
    <w:r>
      <w:rPr>
        <w:rFonts w:ascii="Times New Roman" w:hAnsi="Times New Roman" w:eastAsia="宋体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7A45DE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C834A4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7C2B7F">
    <w:pPr>
      <w:pBdr>
        <w:bottom w:val="single" w:color="999999" w:sz="4" w:space="0"/>
      </w:pBdr>
      <w:jc w:val="center"/>
    </w:pPr>
    <w:r>
      <w:rPr>
        <w:rFonts w:ascii="Times New Roman" w:hAnsi="Times New Roman" w:eastAsia="宋体"/>
        <w:color w:val="666666"/>
        <w:sz w:val="18"/>
        <w:szCs w:val="18"/>
      </w:rPr>
      <w:t>信软学院综合设计 III 中期报告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1FD5492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宋体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9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oc 2"/>
    <w:basedOn w:val="1"/>
    <w:next w:val="1"/>
    <w:qFormat/>
    <w:uiPriority w:val="39"/>
    <w:pPr>
      <w:ind w:left="210"/>
      <w:jc w:val="left"/>
    </w:pPr>
    <w:rPr>
      <w:rFonts w:ascii="Calibri" w:hAnsi="Calibri"/>
      <w:smallCaps/>
      <w:sz w:val="22"/>
    </w:rPr>
  </w:style>
  <w:style w:type="paragraph" w:styleId="11">
    <w:name w:val="Title"/>
    <w:basedOn w:val="1"/>
    <w:next w:val="1"/>
    <w:qFormat/>
    <w:uiPriority w:val="0"/>
    <w:rPr>
      <w:sz w:val="56"/>
      <w:szCs w:val="56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uiPriority w:val="99"/>
    <w:rPr>
      <w:vertAlign w:val="superscript"/>
    </w:rPr>
  </w:style>
  <w:style w:type="paragraph" w:styleId="17">
    <w:name w:val="List Paragraph"/>
    <w:basedOn w:val="1"/>
    <w:qFormat/>
    <w:uiPriority w:val="0"/>
  </w:style>
  <w:style w:type="character" w:customStyle="1" w:styleId="18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e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6682</Words>
  <Characters>9365</Characters>
  <TotalTime>5</TotalTime>
  <ScaleCrop>false</ScaleCrop>
  <LinksUpToDate>false</LinksUpToDate>
  <CharactersWithSpaces>10247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2026-10-12T11:53:00Z</dcterms:created>
  <dc:creator>TVSOS 小组</dc:creator>
  <cp:lastModifiedBy>溟湮丶熵落</cp:lastModifiedBy>
  <dcterms:modified xsi:type="dcterms:W3CDTF">2026-10-12T12:09:18Z</dcterms:modified>
  <dc:title>综合设计 III 中期报告——运输车辆调度优化与仿真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eyJoZGlkIjoiYWY0YTNjYTRkZWI1OTFkN2RhZmNmOTA5ZTkxNDc1YjkiLCJ1c2VySWQiOiIxMTk3NDQ2MTE4In0=</vt:lpwstr>
  </property>
  <property fmtid="{D5CDD505-2E9C-101B-9397-08002B2CF9AE}" pid="3" name="KSOProductBuildVer">
    <vt:lpwstr>2052-12.1.0.28505</vt:lpwstr>
  </property>
  <property fmtid="{D5CDD505-2E9C-101B-9397-08002B2CF9AE}" pid="4" name="ICV">
    <vt:lpwstr>144CE27EE84D44C1AD14810882820C2B_12</vt:lpwstr>
  </property>
</Properties>
</file>