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after="160"/>
        <w:jc w:val="center"/>
      </w:pPr>
      <w:r>
        <w:rPr>
          <w:rFonts w:ascii="Arial" w:cs="Arial" w:eastAsia="Arial" w:hAnsi="Arial"/>
          <w:b/>
          <w:bCs/>
          <w:color w:val="1F4E79"/>
          <w:sz w:val="56"/>
          <w:szCs w:val="56"/>
        </w:rPr>
        <w:t xml:space="preserve">SAP Enterprise Architect</w:t>
      </w:r>
    </w:p>
    <w:p>
      <w:pPr>
        <w:spacing w:before="0" w:after="160"/>
        <w:jc w:val="center"/>
      </w:pPr>
      <w:r>
        <w:rPr>
          <w:rFonts w:ascii="Arial" w:cs="Arial" w:eastAsia="Arial" w:hAnsi="Arial"/>
          <w:b/>
          <w:bCs/>
          <w:color w:val="2E75B6"/>
          <w:sz w:val="48"/>
          <w:szCs w:val="48"/>
        </w:rPr>
        <w:t xml:space="preserve">Certification Study Bible</w:t>
      </w:r>
    </w:p>
    <w:p>
      <w:pPr>
        <w:pBdr>
          <w:bottom w:val="single" w:color="2E75B6" w:sz="8" w:space="4"/>
        </w:pBdr>
        <w:spacing w:before="0" w:after="360"/>
        <w:jc w:val="center"/>
      </w:pPr>
      <w:r>
        <w:rPr>
          <w:rFonts w:ascii="Arial" w:cs="Arial" w:eastAsia="Arial" w:hAnsi="Arial"/>
          <w:color w:val="555555"/>
          <w:sz w:val="28"/>
          <w:szCs w:val="28"/>
        </w:rPr>
        <w:t xml:space="preserve">Complete Session 1 — SAP EA Framework Fundamentals</w:t>
      </w:r>
    </w:p>
    <w:p>
      <w:pPr>
        <w:spacing w:before="240" w:after="80"/>
        <w:jc w:val="center"/>
      </w:pPr>
      <w:r>
        <w:rPr>
          <w:rFonts w:ascii="Arial" w:cs="Arial" w:eastAsia="Arial" w:hAnsi="Arial"/>
          <w:color w:val="555555"/>
          <w:sz w:val="22"/>
          <w:szCs w:val="22"/>
        </w:rPr>
        <w:t xml:space="preserve">Exam: P_SAPEA_2023  |  Pass Mark: 80%  |  40 Questions  |  3 Hours</w:t>
      </w:r>
    </w:p>
    <w:p>
      <w:pPr>
        <w:spacing w:before="60" w:after="60"/>
        <w:jc w:val="center"/>
      </w:pPr>
      <w:r>
        <w:rPr>
          <w:rFonts w:ascii="Arial" w:cs="Arial" w:eastAsia="Arial" w:hAnsi="Arial"/>
          <w:i/>
          <w:iCs/>
          <w:color w:val="888888"/>
          <w:sz w:val="20"/>
          <w:szCs w:val="20"/>
        </w:rPr>
        <w:t xml:space="preserve">Phil Myint  |  ZenCloud.au  |  Brisbane  |  2026</w:t>
      </w:r>
    </w:p>
    <w:p>
      <w:pPr>
        <w:spacing w:before="120" w:after="60"/>
        <w:jc w:val="center"/>
      </w:pPr>
      <w:r>
        <w:rPr>
          <w:rFonts w:ascii="Arial" w:cs="Arial" w:eastAsia="Arial" w:hAnsi="Arial"/>
          <w:i/>
          <w:iCs/>
          <w:color w:val="888888"/>
          <w:sz w:val="18"/>
          <w:szCs w:val="18"/>
        </w:rPr>
        <w:t xml:space="preserve">18 Parts  |  Framework Fundamentals + RBA + Artifacts + Use Cases + Trends + Career Gap Analysis</w:t>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1 — The 20% That Explains Everything</w:t>
      </w:r>
    </w:p>
    <w:p>
      <w:pPr>
        <w:spacing w:before="60" w:after="100"/>
      </w:pPr>
      <w:r>
        <w:rPr>
          <w:rFonts w:ascii="Arial" w:cs="Arial" w:eastAsia="Arial" w:hAnsi="Arial"/>
          <w:color w:val="1A1A1A"/>
          <w:sz w:val="22"/>
          <w:szCs w:val="22"/>
        </w:rPr>
        <w:t xml:space="preserve">One sentence frames the entire SAP EA Framework: </w:t>
      </w:r>
      <w:r>
        <w:rPr>
          <w:rFonts w:ascii="Arial" w:cs="Arial" w:eastAsia="Arial" w:hAnsi="Arial"/>
          <w:b/>
          <w:bCs/>
          <w:color w:val="1A1A1A"/>
          <w:sz w:val="22"/>
          <w:szCs w:val="22"/>
        </w:rPr>
        <w:t xml:space="preserve">Business and IT speak different languages and make decisions independently. Everything in the SAP EAF is a mechanism to force alignment between them.</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375623" w:val="clear"/>
            <w:tcMar>
              <w:top w:type="dxa" w:w="80"/>
              <w:left w:type="dxa" w:w="160"/>
              <w:bottom w:type="dxa" w:w="80"/>
              <w:right w:type="dxa" w:w="160"/>
            </w:tcMar>
          </w:tcPr>
          <w:p>
            <w:r>
              <w:rPr>
                <w:rFonts w:ascii="Arial" w:cs="Arial" w:eastAsia="Arial" w:hAnsi="Arial"/>
                <w:b/>
                <w:bCs/>
                <w:color w:val="FFFFFF"/>
                <w:sz w:val="22"/>
                <w:szCs w:val="22"/>
              </w:rPr>
              <w:t xml:space="preserve">💡  KEY INSIGHT</w:t>
            </w:r>
          </w:p>
        </w:tc>
      </w:tr>
      <w:tr>
        <w:tc>
          <w:tcPr>
            <w:tcW w:type="dxa" w:w="9360"/>
            <w:tcBorders>
              <w:top w:val="single" w:color="BDD7EE" w:sz="1"/>
              <w:left w:val="single" w:color="BDD7EE" w:sz="1"/>
              <w:bottom w:val="single" w:color="BDD7EE" w:sz="1"/>
              <w:right w:val="single" w:color="BDD7EE" w:sz="1"/>
            </w:tcBorders>
            <w:shd w:fill="E2EFDA"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Exam filter: </w:t>
            </w:r>
            <w:r>
              <w:rPr>
                <w:rFonts w:ascii="Arial" w:cs="Arial" w:eastAsia="Arial" w:hAnsi="Arial"/>
                <w:color w:val="1A1A1A"/>
                <w:sz w:val="22"/>
                <w:szCs w:val="22"/>
              </w:rPr>
              <w:t xml:space="preserve">Every artifact, every principle, every tool exists to serve this one purpose. When in doubt — which answer best supports business-IT alignment?</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Five Building Blocks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Building Block</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What It Is</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Methodology</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TOGAF-based ADM tailored for SAP. The process of doing EA work.</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Reference Architecture Content</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Pre-built RBA + RSA. SAP's validated starting point for every engagement.</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Tooling</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LeanIX (architecture), Signavio (processes), Cloud ALM (execution), Business Accelerator Hub.</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Practice</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Internal EA organisational model. Governance, maturity assessment.</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Services</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External SAP EA consulting engagements. Modular, bookable by domain.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C55A11" w:val="clear"/>
            <w:tcMar>
              <w:top w:type="dxa" w:w="80"/>
              <w:left w:type="dxa" w:w="160"/>
              <w:bottom w:type="dxa" w:w="80"/>
              <w:right w:type="dxa" w:w="160"/>
            </w:tcMar>
          </w:tcPr>
          <w:p>
            <w:r>
              <w:rPr>
                <w:rFonts w:ascii="Arial" w:cs="Arial" w:eastAsia="Arial" w:hAnsi="Arial"/>
                <w:b/>
                <w:bCs/>
                <w:color w:val="FFFFFF"/>
                <w:sz w:val="22"/>
                <w:szCs w:val="22"/>
              </w:rPr>
              <w:t xml:space="preserve">⚠️  EXAM TRAP</w:t>
            </w:r>
          </w:p>
        </w:tc>
      </w:tr>
      <w:tr>
        <w:tc>
          <w:tcPr>
            <w:tcW w:type="dxa" w:w="9360"/>
            <w:tcBorders>
              <w:top w:val="single" w:color="BDD7EE" w:sz="1"/>
              <w:left w:val="single" w:color="BDD7EE" w:sz="1"/>
              <w:bottom w:val="single" w:color="BDD7EE" w:sz="1"/>
              <w:right w:val="single" w:color="BDD7EE" w:sz="1"/>
            </w:tcBorders>
            <w:shd w:fill="FCE4D6"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Practice ≠ Services. </w:t>
            </w:r>
            <w:r>
              <w:rPr>
                <w:rFonts w:ascii="Arial" w:cs="Arial" w:eastAsia="Arial" w:hAnsi="Arial"/>
                <w:color w:val="1A1A1A"/>
                <w:sz w:val="22"/>
                <w:szCs w:val="22"/>
              </w:rPr>
              <w:t xml:space="preserve">Practice = INTERNAL EA org model. Services = EXTERNAL SAP consulting. Most common swap on the exam.</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Origin: IndRA</w:t>
      </w:r>
    </w:p>
    <w:p>
      <w:pPr>
        <w:spacing w:before="60" w:after="100"/>
      </w:pPr>
      <w:r>
        <w:rPr>
          <w:rFonts w:ascii="Arial" w:cs="Arial" w:eastAsia="Arial" w:hAnsi="Arial"/>
          <w:color w:val="1A1A1A"/>
          <w:sz w:val="22"/>
          <w:szCs w:val="22"/>
        </w:rPr>
        <w:t xml:space="preserve">The methodology evolved from </w:t>
      </w:r>
      <w:r>
        <w:rPr>
          <w:rFonts w:ascii="Arial" w:cs="Arial" w:eastAsia="Arial" w:hAnsi="Arial"/>
          <w:b/>
          <w:bCs/>
          <w:color w:val="1A1A1A"/>
          <w:sz w:val="22"/>
          <w:szCs w:val="22"/>
        </w:rPr>
        <w:t xml:space="preserve">IndRA (Industry Reference Architecture)</w:t>
      </w:r>
      <w:r>
        <w:rPr>
          <w:rFonts w:ascii="Arial" w:cs="Arial" w:eastAsia="Arial" w:hAnsi="Arial"/>
          <w:color w:val="1A1A1A"/>
          <w:sz w:val="22"/>
          <w:szCs w:val="22"/>
        </w:rPr>
        <w:t xml:space="preserve"> — SAP's internal project. SAP built and validated this on its own IT landscape. The 3D-ADM means SAP uses the same framework in: </w:t>
      </w:r>
      <w:r>
        <w:rPr>
          <w:rFonts w:ascii="Arial" w:cs="Arial" w:eastAsia="Arial" w:hAnsi="Arial"/>
          <w:b/>
          <w:bCs/>
          <w:color w:val="1A1A1A"/>
          <w:sz w:val="22"/>
          <w:szCs w:val="22"/>
        </w:rPr>
        <w:t xml:space="preserve">(1) Product Engineering, (2) Customer Engagements, (3) SAP's own IT.</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EXAM ALERT</w:t>
            </w:r>
          </w:p>
        </w:tc>
      </w:tr>
      <w:tr>
        <w:tc>
          <w:tcPr>
            <w:tcW w:type="dxa" w:w="9360"/>
            <w:tcBorders>
              <w:top w:val="single" w:color="BDD7EE" w:sz="1"/>
              <w:left w:val="single" w:color="BDD7EE" w:sz="1"/>
              <w:bottom w:val="single" w:color="BDD7EE" w:sz="1"/>
              <w:right w:val="single" w:color="BDD7EE" w:sz="1"/>
            </w:tcBorders>
            <w:shd w:fill="FFF2CC" w:val="clear"/>
            <w:tcMar>
              <w:top w:type="dxa" w:w="80"/>
              <w:left w:type="dxa" w:w="160"/>
              <w:bottom w:type="dxa" w:w="80"/>
              <w:right w:type="dxa" w:w="160"/>
            </w:tcMar>
          </w:tcPr>
          <w:p>
            <w:pPr>
              <w:spacing w:before="40" w:after="40"/>
            </w:pPr>
            <w:r>
              <w:rPr>
                <w:rFonts w:ascii="Arial" w:cs="Arial" w:eastAsia="Arial" w:hAnsi="Arial"/>
                <w:color w:val="1A1A1A"/>
                <w:sz w:val="22"/>
                <w:szCs w:val="22"/>
              </w:rPr>
              <w:t xml:space="preserve">Origin = </w:t>
            </w:r>
            <w:r>
              <w:rPr>
                <w:rFonts w:ascii="Arial" w:cs="Arial" w:eastAsia="Arial" w:hAnsi="Arial"/>
                <w:b/>
                <w:bCs/>
                <w:color w:val="1A1A1A"/>
                <w:sz w:val="22"/>
                <w:szCs w:val="22"/>
              </w:rPr>
              <w:t xml:space="preserve">IndRA</w:t>
            </w:r>
            <w:r>
              <w:rPr>
                <w:rFonts w:ascii="Arial" w:cs="Arial" w:eastAsia="Arial" w:hAnsi="Arial"/>
                <w:color w:val="1A1A1A"/>
                <w:sz w:val="22"/>
                <w:szCs w:val="22"/>
              </w:rPr>
              <w:t xml:space="preserve">, not TOGAF. TOGAF is the ADM foundation it aligns with.</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The Framework's Three Dimensions Are Interrelated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6B2D8B" w:val="clear"/>
            <w:tcMar>
              <w:top w:type="dxa" w:w="80"/>
              <w:left w:type="dxa" w:w="160"/>
              <w:bottom w:type="dxa" w:w="80"/>
              <w:right w:type="dxa" w:w="160"/>
            </w:tcMar>
          </w:tcPr>
          <w:p>
            <w:r>
              <w:rPr>
                <w:rFonts w:ascii="Arial" w:cs="Arial" w:eastAsia="Arial" w:hAnsi="Arial"/>
                <w:b/>
                <w:bCs/>
                <w:color w:val="FFFFFF"/>
                <w:sz w:val="22"/>
                <w:szCs w:val="22"/>
              </w:rPr>
              <w:t xml:space="preserve">📖  AUTHOR QUOTE</w:t>
            </w:r>
          </w:p>
        </w:tc>
      </w:tr>
      <w:tr>
        <w:tc>
          <w:tcPr>
            <w:tcW w:type="dxa" w:w="9360"/>
            <w:tcBorders>
              <w:top w:val="single" w:color="BDD7EE" w:sz="1"/>
              <w:left w:val="single" w:color="BDD7EE" w:sz="1"/>
              <w:bottom w:val="single" w:color="BDD7EE" w:sz="1"/>
              <w:right w:val="single" w:color="BDD7EE" w:sz="1"/>
            </w:tcBorders>
            <w:shd w:fill="F3E8FF" w:val="clear"/>
            <w:tcMar>
              <w:top w:type="dxa" w:w="80"/>
              <w:left w:type="dxa" w:w="160"/>
              <w:bottom w:type="dxa" w:w="80"/>
              <w:right w:type="dxa" w:w="160"/>
            </w:tcMar>
          </w:tcPr>
          <w:p>
            <w:pPr>
              <w:spacing w:before="40" w:after="40"/>
            </w:pPr>
            <w:r>
              <w:rPr>
                <w:rFonts w:ascii="Arial" w:cs="Arial" w:eastAsia="Arial" w:hAnsi="Arial"/>
                <w:i/>
                <w:iCs/>
                <w:color w:val="1A1A1A"/>
                <w:sz w:val="22"/>
                <w:szCs w:val="22"/>
              </w:rPr>
              <w:t xml:space="preserve">"The reference content is developed following the methodology and is available in our tooling. When SAP Product Engineering designs new products, they document business capabilities, business processes, and technologies according to the methodology and make it available in the tooling."</w:t>
            </w:r>
            <w:r>
              <w:rPr>
                <w:rFonts w:ascii="Arial" w:cs="Arial" w:eastAsia="Arial" w:hAnsi="Arial"/>
                <w:color w:val="1A1A1A"/>
                <w:sz w:val="22"/>
                <w:szCs w:val="22"/>
              </w:rPr>
              <w:t xml:space="preserve"> — Peter Klee</w:t>
            </w:r>
          </w:p>
        </w:tc>
      </w:tr>
    </w:tbl>
    <w:p>
      <w:pPr>
        <w:spacing w:before="60" w:after="60"/>
      </w:pPr>
      <w:r>
        <w:t xml:space="preserve"/>
      </w:r>
    </w:p>
    <w:p>
      <w:pPr>
        <w:spacing w:before="60" w:after="100"/>
      </w:pPr>
      <w:r>
        <w:rPr>
          <w:rFonts w:ascii="Arial" w:cs="Arial" w:eastAsia="Arial" w:hAnsi="Arial"/>
          <w:color w:val="1A1A1A"/>
          <w:sz w:val="22"/>
          <w:szCs w:val="22"/>
        </w:rPr>
        <w:t xml:space="preserve">Practical implication: The RBA/RSA is continuously updated by SAP product teams. When you access the Business Accelerator Hub, you see the current state of how SAP positions its products against the business architecture.</w:t>
      </w:r>
    </w:p>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2 — The Framework Structure</w:t>
      </w:r>
    </w:p>
    <w:p>
      <w:pPr>
        <w:pStyle w:val="Heading2"/>
        <w:spacing w:before="280" w:after="80"/>
      </w:pPr>
      <w:r>
        <w:rPr>
          <w:rFonts w:ascii="Arial" w:cs="Arial" w:eastAsia="Arial" w:hAnsi="Arial"/>
          <w:b/>
          <w:bCs/>
          <w:color w:val="2E75B6"/>
          <w:sz w:val="28"/>
          <w:szCs w:val="28"/>
        </w:rPr>
        <w:t xml:space="preserve">Seven Domains (Metro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80"/>
        <w:gridCol w:w="2680"/>
      </w:tblGrid>
      <w:tr>
        <w:tc>
          <w:tcPr>
            <w:tcW w:type="dxa" w:w="28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Domain</w:t>
            </w:r>
          </w:p>
        </w:tc>
        <w:tc>
          <w:tcPr>
            <w:tcW w:type="dxa" w:w="38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What It Covers</w:t>
            </w:r>
          </w:p>
        </w:tc>
        <w:tc>
          <w:tcPr>
            <w:tcW w:type="dxa" w:w="26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ADM Phase</w:t>
            </w:r>
          </w:p>
        </w:tc>
      </w:tr>
      <w:tr>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Architecture Vision</w:t>
            </w:r>
          </w:p>
        </w:tc>
        <w:tc>
          <w:tcPr>
            <w:tcW w:type="dxa" w:w="3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Initial sketch. Stakeholder identification. Statement of Architecture Work.</w:t>
            </w:r>
          </w:p>
        </w:tc>
        <w:tc>
          <w:tcPr>
            <w:tcW w:type="dxa" w:w="2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Phase A</w:t>
            </w:r>
          </w:p>
        </w:tc>
      </w:tr>
      <w:tr>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Strategy &amp; Motivation</w:t>
            </w:r>
          </w:p>
        </w:tc>
        <w:tc>
          <w:tcPr>
            <w:tcW w:type="dxa" w:w="3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Strategic priorities → Goals → Value Drivers. Business motivation.</w:t>
            </w:r>
          </w:p>
        </w:tc>
        <w:tc>
          <w:tcPr>
            <w:tcW w:type="dxa" w:w="2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A→B bridge</w:t>
            </w:r>
          </w:p>
        </w:tc>
      </w:tr>
      <w:tr>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w:t>
            </w:r>
          </w:p>
        </w:tc>
        <w:tc>
          <w:tcPr>
            <w:tcW w:type="dxa" w:w="3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Capabilities, processes, data, org structure. Business language only.</w:t>
            </w:r>
          </w:p>
        </w:tc>
        <w:tc>
          <w:tcPr>
            <w:tcW w:type="dxa" w:w="2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Phase B</w:t>
            </w:r>
          </w:p>
        </w:tc>
      </w:tr>
      <w:tr>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Architecture</w:t>
            </w:r>
          </w:p>
        </w:tc>
        <w:tc>
          <w:tcPr>
            <w:tcW w:type="dxa" w:w="3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Reference, baseline, target, transition architectures. Bridge to technology.</w:t>
            </w:r>
          </w:p>
        </w:tc>
        <w:tc>
          <w:tcPr>
            <w:tcW w:type="dxa" w:w="2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Phase C</w:t>
            </w:r>
          </w:p>
        </w:tc>
      </w:tr>
      <w:tr>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Technology Architecture</w:t>
            </w:r>
          </w:p>
        </w:tc>
        <w:tc>
          <w:tcPr>
            <w:tcW w:type="dxa" w:w="3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How solution building blocks are delivered via technology components.</w:t>
            </w:r>
          </w:p>
        </w:tc>
        <w:tc>
          <w:tcPr>
            <w:tcW w:type="dxa" w:w="2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Phase D</w:t>
            </w:r>
          </w:p>
        </w:tc>
      </w:tr>
      <w:tr>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Roadmap &amp; Transition</w:t>
            </w:r>
          </w:p>
        </w:tc>
        <w:tc>
          <w:tcPr>
            <w:tcW w:type="dxa" w:w="3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Growth opportunities, migration planning, transition management.</w:t>
            </w:r>
          </w:p>
        </w:tc>
        <w:tc>
          <w:tcPr>
            <w:tcW w:type="dxa" w:w="2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Phase E</w:t>
            </w:r>
          </w:p>
        </w:tc>
      </w:tr>
      <w:tr>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Requirements &amp; Governance</w:t>
            </w:r>
          </w:p>
        </w:tc>
        <w:tc>
          <w:tcPr>
            <w:tcW w:type="dxa" w:w="3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Cross-cutting. Risk catalog, principles, ADRs. ALL phases.</w:t>
            </w:r>
          </w:p>
        </w:tc>
        <w:tc>
          <w:tcPr>
            <w:tcW w:type="dxa" w:w="2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All phases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C55A11" w:val="clear"/>
            <w:tcMar>
              <w:top w:type="dxa" w:w="80"/>
              <w:left w:type="dxa" w:w="160"/>
              <w:bottom w:type="dxa" w:w="80"/>
              <w:right w:type="dxa" w:w="160"/>
            </w:tcMar>
          </w:tcPr>
          <w:p>
            <w:r>
              <w:rPr>
                <w:rFonts w:ascii="Arial" w:cs="Arial" w:eastAsia="Arial" w:hAnsi="Arial"/>
                <w:b/>
                <w:bCs/>
                <w:color w:val="FFFFFF"/>
                <w:sz w:val="22"/>
                <w:szCs w:val="22"/>
              </w:rPr>
              <w:t xml:space="preserve">⚠️  EXAM TRAP</w:t>
            </w:r>
          </w:p>
        </w:tc>
      </w:tr>
      <w:tr>
        <w:tc>
          <w:tcPr>
            <w:tcW w:type="dxa" w:w="9360"/>
            <w:tcBorders>
              <w:top w:val="single" w:color="BDD7EE" w:sz="1"/>
              <w:left w:val="single" w:color="BDD7EE" w:sz="1"/>
              <w:bottom w:val="single" w:color="BDD7EE" w:sz="1"/>
              <w:right w:val="single" w:color="BDD7EE" w:sz="1"/>
            </w:tcBorders>
            <w:shd w:fill="FCE4D6"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Requirements &amp; Governance is NOT Phase A. </w:t>
            </w:r>
            <w:r>
              <w:rPr>
                <w:rFonts w:ascii="Arial" w:cs="Arial" w:eastAsia="Arial" w:hAnsi="Arial"/>
                <w:color w:val="1A1A1A"/>
                <w:sz w:val="22"/>
                <w:szCs w:val="22"/>
              </w:rPr>
              <w:t xml:space="preserve">Runs across ALL phases. Requirements emerge anywhere, evolve throughout.</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Three Core Methodology Domains</w:t>
      </w:r>
    </w:p>
    <w:p>
      <w:pPr>
        <w:pStyle w:val="ListParagraph"/>
        <w:numPr>
          <w:ilvl w:val="0"/>
          <w:numId w:val="2"/>
        </w:numPr>
        <w:spacing w:before="40" w:after="40"/>
      </w:pPr>
      <w:r>
        <w:rPr>
          <w:rFonts w:ascii="Arial" w:cs="Arial" w:eastAsia="Arial" w:hAnsi="Arial"/>
          <w:b/>
          <w:bCs/>
          <w:color w:val="1A1A1A"/>
          <w:sz w:val="22"/>
          <w:szCs w:val="22"/>
        </w:rPr>
        <w:t xml:space="preserve">Business Strategy &amp; Model Domain</w:t>
      </w:r>
    </w:p>
    <w:p>
      <w:pPr>
        <w:pStyle w:val="ListParagraph"/>
        <w:numPr>
          <w:ilvl w:val="0"/>
          <w:numId w:val="2"/>
        </w:numPr>
        <w:spacing w:before="40" w:after="40"/>
      </w:pPr>
      <w:r>
        <w:rPr>
          <w:rFonts w:ascii="Arial" w:cs="Arial" w:eastAsia="Arial" w:hAnsi="Arial"/>
          <w:b/>
          <w:bCs/>
          <w:color w:val="1A1A1A"/>
          <w:sz w:val="22"/>
          <w:szCs w:val="22"/>
        </w:rPr>
        <w:t xml:space="preserve">Business Architecture Domain</w:t>
      </w:r>
    </w:p>
    <w:p>
      <w:pPr>
        <w:pStyle w:val="ListParagraph"/>
        <w:numPr>
          <w:ilvl w:val="0"/>
          <w:numId w:val="2"/>
        </w:numPr>
        <w:spacing w:before="40" w:after="40"/>
      </w:pPr>
      <w:r>
        <w:rPr>
          <w:rFonts w:ascii="Arial" w:cs="Arial" w:eastAsia="Arial" w:hAnsi="Arial"/>
          <w:b/>
          <w:bCs/>
          <w:color w:val="1A1A1A"/>
          <w:sz w:val="22"/>
          <w:szCs w:val="22"/>
        </w:rPr>
        <w:t xml:space="preserve">Solution Architecture Domain</w:t>
      </w:r>
    </w:p>
    <w:p>
      <w:pPr>
        <w:pStyle w:val="ListParagraph"/>
        <w:numPr>
          <w:ilvl w:val="0"/>
          <w:numId w:val="2"/>
        </w:numPr>
        <w:spacing w:before="40" w:after="40"/>
      </w:pPr>
      <w:r>
        <w:rPr>
          <w:rFonts w:ascii="Arial" w:cs="Arial" w:eastAsia="Arial" w:hAnsi="Arial"/>
          <w:i/>
          <w:iCs/>
          <w:color w:val="1A1A1A"/>
          <w:sz w:val="22"/>
          <w:szCs w:val="22"/>
        </w:rPr>
        <w:t xml:space="preserve">↔ connects to: IT Landscape Domain (Technology Architecture)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EXAM ALERT</w:t>
            </w:r>
          </w:p>
        </w:tc>
      </w:tr>
      <w:tr>
        <w:tc>
          <w:tcPr>
            <w:tcW w:type="dxa" w:w="9360"/>
            <w:tcBorders>
              <w:top w:val="single" w:color="BDD7EE" w:sz="1"/>
              <w:left w:val="single" w:color="BDD7EE" w:sz="1"/>
              <w:bottom w:val="single" w:color="BDD7EE" w:sz="1"/>
              <w:right w:val="single" w:color="BDD7EE" w:sz="1"/>
            </w:tcBorders>
            <w:shd w:fill="FFF2CC" w:val="clear"/>
            <w:tcMar>
              <w:top w:type="dxa" w:w="80"/>
              <w:left w:type="dxa" w:w="160"/>
              <w:bottom w:type="dxa" w:w="80"/>
              <w:right w:type="dxa" w:w="160"/>
            </w:tcMar>
          </w:tcPr>
          <w:p>
            <w:pPr>
              <w:spacing w:before="40" w:after="40"/>
            </w:pPr>
            <w:r>
              <w:rPr>
                <w:rFonts w:ascii="Arial" w:cs="Arial" w:eastAsia="Arial" w:hAnsi="Arial"/>
                <w:color w:val="1A1A1A"/>
                <w:sz w:val="22"/>
                <w:szCs w:val="22"/>
              </w:rPr>
              <w:t xml:space="preserve">Metro Map = 7 domains. SAP EA Methodology = 3 domains. Both correct — different questions.</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Metro Map — Four Key Rules</w:t>
      </w:r>
    </w:p>
    <w:p>
      <w:pPr>
        <w:pStyle w:val="ListParagraph"/>
        <w:numPr>
          <w:ilvl w:val="0"/>
          <w:numId w:val="2"/>
        </w:numPr>
        <w:spacing w:before="40" w:after="40"/>
      </w:pPr>
      <w:r>
        <w:rPr>
          <w:rFonts w:ascii="Arial" w:cs="Arial" w:eastAsia="Arial" w:hAnsi="Arial"/>
          <w:b/>
          <w:bCs/>
          <w:color w:val="1A1A1A"/>
          <w:sz w:val="22"/>
          <w:szCs w:val="22"/>
        </w:rPr>
        <w:t xml:space="preserve">Not a sequence. </w:t>
      </w:r>
      <w:r>
        <w:rPr>
          <w:rFonts w:ascii="Arial" w:cs="Arial" w:eastAsia="Arial" w:hAnsi="Arial"/>
          <w:color w:val="1A1A1A"/>
          <w:sz w:val="22"/>
          <w:szCs w:val="22"/>
        </w:rPr>
        <w:t xml:space="preserve">Natural flow — not waterfall.</w:t>
      </w:r>
    </w:p>
    <w:p>
      <w:pPr>
        <w:pStyle w:val="ListParagraph"/>
        <w:numPr>
          <w:ilvl w:val="0"/>
          <w:numId w:val="2"/>
        </w:numPr>
        <w:spacing w:before="40" w:after="40"/>
      </w:pPr>
      <w:r>
        <w:rPr>
          <w:rFonts w:ascii="Arial" w:cs="Arial" w:eastAsia="Arial" w:hAnsi="Arial"/>
          <w:b/>
          <w:bCs/>
          <w:color w:val="1A1A1A"/>
          <w:sz w:val="22"/>
          <w:szCs w:val="22"/>
        </w:rPr>
        <w:t xml:space="preserve">Not exhaustive. </w:t>
      </w:r>
      <w:r>
        <w:rPr>
          <w:rFonts w:ascii="Arial" w:cs="Arial" w:eastAsia="Arial" w:hAnsi="Arial"/>
          <w:color w:val="1A1A1A"/>
          <w:sz w:val="22"/>
          <w:szCs w:val="22"/>
        </w:rPr>
        <w:t xml:space="preserve">Select from it — don't produce everything.</w:t>
      </w:r>
    </w:p>
    <w:p>
      <w:pPr>
        <w:pStyle w:val="ListParagraph"/>
        <w:numPr>
          <w:ilvl w:val="0"/>
          <w:numId w:val="2"/>
        </w:numPr>
        <w:spacing w:before="40" w:after="40"/>
      </w:pPr>
      <w:r>
        <w:rPr>
          <w:rFonts w:ascii="Arial" w:cs="Arial" w:eastAsia="Arial" w:hAnsi="Arial"/>
          <w:b/>
          <w:bCs/>
          <w:color w:val="1A1A1A"/>
          <w:sz w:val="22"/>
          <w:szCs w:val="22"/>
        </w:rPr>
        <w:t xml:space="preserve">Stakeholder-driven. </w:t>
      </w:r>
      <w:r>
        <w:rPr>
          <w:rFonts w:ascii="Arial" w:cs="Arial" w:eastAsia="Arial" w:hAnsi="Arial"/>
          <w:color w:val="1A1A1A"/>
          <w:sz w:val="22"/>
          <w:szCs w:val="22"/>
        </w:rPr>
        <w:t xml:space="preserve">Artifacts for stakeholders, not for architecture.</w:t>
      </w:r>
    </w:p>
    <w:p>
      <w:pPr>
        <w:pStyle w:val="ListParagraph"/>
        <w:numPr>
          <w:ilvl w:val="0"/>
          <w:numId w:val="2"/>
        </w:numPr>
        <w:spacing w:before="40" w:after="40"/>
      </w:pPr>
      <w:r>
        <w:rPr>
          <w:rFonts w:ascii="Arial" w:cs="Arial" w:eastAsia="Arial" w:hAnsi="Arial"/>
          <w:b/>
          <w:bCs/>
          <w:color w:val="1A1A1A"/>
          <w:sz w:val="22"/>
          <w:szCs w:val="22"/>
        </w:rPr>
        <w:t xml:space="preserve">Iterative. </w:t>
      </w:r>
      <w:r>
        <w:rPr>
          <w:rFonts w:ascii="Arial" w:cs="Arial" w:eastAsia="Arial" w:hAnsi="Arial"/>
          <w:color w:val="1A1A1A"/>
          <w:sz w:val="22"/>
          <w:szCs w:val="22"/>
        </w:rPr>
        <w:t xml:space="preserve">Within phases, between phases, between cycles, after stakeholder reviews.</w:t>
      </w:r>
    </w:p>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3 — Technique vs Artifact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Entity</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Definition</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Technique (VERB — what you DO)</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Method used during an architectural activity describing HOW to develop artifacts. Examples: gap analysis, capability mapping, roadmap creation, heat mapping.</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Artifact (NOUN — what you PRODUCE)</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Deliverable or work product created during execution. Examples: Business Capability Map, Solution Component Diagram, Stakeholder Map.</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Technique</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Artifact (produced)</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Capability mapping</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Capability Map</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Gap analysis</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Gap / Solution Overview Diagram</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Roadmap creation</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 Roadmap</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Heat mapping</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Heat-mapped Business Capability Map</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Stakeholder analysis</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Stakeholder Map</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Canvas workshop</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Model Canvas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C55A11" w:val="clear"/>
            <w:tcMar>
              <w:top w:type="dxa" w:w="80"/>
              <w:left w:type="dxa" w:w="160"/>
              <w:bottom w:type="dxa" w:w="80"/>
              <w:right w:type="dxa" w:w="160"/>
            </w:tcMar>
          </w:tcPr>
          <w:p>
            <w:r>
              <w:rPr>
                <w:rFonts w:ascii="Arial" w:cs="Arial" w:eastAsia="Arial" w:hAnsi="Arial"/>
                <w:b/>
                <w:bCs/>
                <w:color w:val="FFFFFF"/>
                <w:sz w:val="22"/>
                <w:szCs w:val="22"/>
              </w:rPr>
              <w:t xml:space="preserve">⚠️  EXAM TRAP</w:t>
            </w:r>
          </w:p>
        </w:tc>
      </w:tr>
      <w:tr>
        <w:tc>
          <w:tcPr>
            <w:tcW w:type="dxa" w:w="9360"/>
            <w:tcBorders>
              <w:top w:val="single" w:color="BDD7EE" w:sz="1"/>
              <w:left w:val="single" w:color="BDD7EE" w:sz="1"/>
              <w:bottom w:val="single" w:color="BDD7EE" w:sz="1"/>
              <w:right w:val="single" w:color="BDD7EE" w:sz="1"/>
            </w:tcBorders>
            <w:shd w:fill="FCE4D6"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Data Flow ≠ artifact. </w:t>
            </w:r>
            <w:r>
              <w:rPr>
                <w:rFonts w:ascii="Arial" w:cs="Arial" w:eastAsia="Arial" w:hAnsi="Arial"/>
                <w:color w:val="1A1A1A"/>
                <w:sz w:val="22"/>
                <w:szCs w:val="22"/>
              </w:rPr>
              <w:t xml:space="preserve">Data Flow is a concept. </w:t>
            </w:r>
            <w:r>
              <w:rPr>
                <w:rFonts w:ascii="Arial" w:cs="Arial" w:eastAsia="Arial" w:hAnsi="Arial"/>
                <w:b/>
                <w:bCs/>
                <w:color w:val="1A1A1A"/>
                <w:sz w:val="22"/>
                <w:szCs w:val="22"/>
              </w:rPr>
              <w:t xml:space="preserve">Solution Data Flow Diagram</w:t>
            </w:r>
            <w:r>
              <w:rPr>
                <w:rFonts w:ascii="Arial" w:cs="Arial" w:eastAsia="Arial" w:hAnsi="Arial"/>
                <w:color w:val="1A1A1A"/>
                <w:sz w:val="22"/>
                <w:szCs w:val="22"/>
              </w:rPr>
              <w:t xml:space="preserve"> is the artifact. Tracing data flows is the technique. Three different things.</w:t>
            </w:r>
          </w:p>
        </w:tc>
      </w:tr>
    </w:tbl>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4 — TOGAF and the ADM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Phase</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Preliminary</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Tailor framework. Establish principles. Three types: Terminology, Content, Process.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 — Architecture Vision</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Define scope. Identify stakeholders. Create Statement of Architecture Work.</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 — Business Architecture</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Define capabilities, processes, data, org structure.</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 — Information Systems</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Application and Data architecture.</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 — Technology Architecture</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Infrastructure, deployment, environments.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 — Opportunities &amp; Solutions</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Identify projects and transition plans to reach target architecture.</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F — Migration Planning</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Prioritise projects. Create detailed roadmap.</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G — Implementation Governance</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Oversee implementation contracts.</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 — Architecture Change Management</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Monitor for change triggers, manage updates.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Requirements Management</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Cross-cutting — all phases.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EXAM ALERT</w:t>
            </w:r>
          </w:p>
        </w:tc>
      </w:tr>
      <w:tr>
        <w:tc>
          <w:tcPr>
            <w:tcW w:type="dxa" w:w="9360"/>
            <w:tcBorders>
              <w:top w:val="single" w:color="BDD7EE" w:sz="1"/>
              <w:left w:val="single" w:color="BDD7EE" w:sz="1"/>
              <w:bottom w:val="single" w:color="BDD7EE" w:sz="1"/>
              <w:right w:val="single" w:color="BDD7EE" w:sz="1"/>
            </w:tcBorders>
            <w:shd w:fill="FFF2CC"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Phase E</w:t>
            </w:r>
            <w:r>
              <w:rPr>
                <w:rFonts w:ascii="Arial" w:cs="Arial" w:eastAsia="Arial" w:hAnsi="Arial"/>
                <w:color w:val="1A1A1A"/>
                <w:sz w:val="22"/>
                <w:szCs w:val="22"/>
              </w:rPr>
              <w:t xml:space="preserve"> identifies projects and transition plans to REALISE the target architecture. Direct exam question.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SAP Term</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TOGAF Equivalent (DO NOT USE)</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Strategic Priority</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Driver</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Value Driver</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Objective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C55A11" w:val="clear"/>
            <w:tcMar>
              <w:top w:type="dxa" w:w="80"/>
              <w:left w:type="dxa" w:w="160"/>
              <w:bottom w:type="dxa" w:w="80"/>
              <w:right w:type="dxa" w:w="160"/>
            </w:tcMar>
          </w:tcPr>
          <w:p>
            <w:r>
              <w:rPr>
                <w:rFonts w:ascii="Arial" w:cs="Arial" w:eastAsia="Arial" w:hAnsi="Arial"/>
                <w:b/>
                <w:bCs/>
                <w:color w:val="FFFFFF"/>
                <w:sz w:val="22"/>
                <w:szCs w:val="22"/>
              </w:rPr>
              <w:t xml:space="preserve">⚠️  EXAM TRAP</w:t>
            </w:r>
          </w:p>
        </w:tc>
      </w:tr>
      <w:tr>
        <w:tc>
          <w:tcPr>
            <w:tcW w:type="dxa" w:w="9360"/>
            <w:tcBorders>
              <w:top w:val="single" w:color="BDD7EE" w:sz="1"/>
              <w:left w:val="single" w:color="BDD7EE" w:sz="1"/>
              <w:bottom w:val="single" w:color="BDD7EE" w:sz="1"/>
              <w:right w:val="single" w:color="BDD7EE" w:sz="1"/>
            </w:tcBorders>
            <w:shd w:fill="FCE4D6"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TOGAF knowledge helps but is not sufficient. </w:t>
            </w:r>
            <w:r>
              <w:rPr>
                <w:rFonts w:ascii="Arial" w:cs="Arial" w:eastAsia="Arial" w:hAnsi="Arial"/>
                <w:color w:val="1A1A1A"/>
                <w:sz w:val="22"/>
                <w:szCs w:val="22"/>
              </w:rPr>
              <w:t xml:space="preserve">The exam tests SAP-specific terminology. Strategic Priority ≠ Driver. Value Driver ≠ Objective.</w:t>
            </w:r>
          </w:p>
        </w:tc>
      </w:tr>
    </w:tbl>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5 — The Six EA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80"/>
        <w:gridCol w:w="3680"/>
      </w:tblGrid>
      <w:tr>
        <w:tc>
          <w:tcPr>
            <w:tcW w:type="dxa" w:w="22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Principle</w:t>
            </w:r>
          </w:p>
        </w:tc>
        <w:tc>
          <w:tcPr>
            <w:tcW w:type="dxa" w:w="34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Plain English</w:t>
            </w:r>
          </w:p>
        </w:tc>
        <w:tc>
          <w:tcPr>
            <w:tcW w:type="dxa" w:w="36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Exam Implication</w:t>
            </w:r>
          </w:p>
        </w:tc>
      </w:tr>
      <w:tr>
        <w:tc>
          <w:tcPr>
            <w:tcW w:type="dxa" w:w="22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Separation and Mapping of Business and IT</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Define what the business NEEDS before HOW to solve it technically. Business capabilities are product-agnostic.</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 must never reference SAP products.</w:t>
            </w:r>
          </w:p>
        </w:tc>
      </w:tr>
      <w:tr>
        <w:tc>
          <w:tcPr>
            <w:tcW w:type="dxa" w:w="22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Using Industry Standards</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TOGAF for ADM. BPMN 2.0 for process flows. APQC PCF for business activities.</w:t>
            </w:r>
          </w:p>
        </w:tc>
        <w:tc>
          <w:tcPr>
            <w:tcW w:type="dxa" w:w="3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APQC PCF v7.2.1 is basis for RBA Business Process Model.</w:t>
            </w:r>
          </w:p>
        </w:tc>
      </w:tr>
      <w:tr>
        <w:tc>
          <w:tcPr>
            <w:tcW w:type="dxa" w:w="22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Respect and Connect to Architecture Contexts</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EA is NOT the one methodology to rule them all. Equal partner to other disciplines.</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EA connects to specialist domains — never governs them.</w:t>
            </w:r>
          </w:p>
        </w:tc>
      </w:tr>
      <w:tr>
        <w:tc>
          <w:tcPr>
            <w:tcW w:type="dxa" w:w="22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Collaborative Approach &amp; Content Fluency</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Shared taxonomy. Content flows to all use cases, continuously evaluated.</w:t>
            </w:r>
          </w:p>
        </w:tc>
        <w:tc>
          <w:tcPr>
            <w:tcW w:type="dxa" w:w="3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Content fluency = smooth phase transitions, efficient feedback cycles.</w:t>
            </w:r>
          </w:p>
        </w:tc>
      </w:tr>
      <w:tr>
        <w:tc>
          <w:tcPr>
            <w:tcW w:type="dxa" w:w="22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Defined Content Ownership</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Every artifact has a named owner with accountability and right to approve.</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owns Business Architecture. IT owns IT architecture.</w:t>
            </w:r>
          </w:p>
        </w:tc>
      </w:tr>
      <w:tr>
        <w:tc>
          <w:tcPr>
            <w:tcW w:type="dxa" w:w="22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Sustainability and Simplicity</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Only assets that can be sustainably maintained and thoroughly understood.</w:t>
            </w:r>
          </w:p>
        </w:tc>
        <w:tc>
          <w:tcPr>
            <w:tcW w:type="dxa" w:w="3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Justifies the 10-20 Architecture Principles limit.</w:t>
            </w:r>
          </w:p>
        </w:tc>
      </w:tr>
    </w:tbl>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6 — Reference Architecture Content</w:t>
      </w:r>
    </w:p>
    <w:p>
      <w:pPr>
        <w:pStyle w:val="Heading2"/>
        <w:spacing w:before="280" w:after="80"/>
      </w:pPr>
      <w:r>
        <w:rPr>
          <w:rFonts w:ascii="Arial" w:cs="Arial" w:eastAsia="Arial" w:hAnsi="Arial"/>
          <w:b/>
          <w:bCs/>
          <w:color w:val="2E75B6"/>
          <w:sz w:val="28"/>
          <w:szCs w:val="28"/>
        </w:rPr>
        <w:t xml:space="preserve">Four Views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View</w:t>
            </w:r>
          </w:p>
        </w:tc>
        <w:tc>
          <w:tcPr>
            <w:tcW w:type="dxa" w:w="36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Business Architecture</w:t>
            </w:r>
          </w:p>
        </w:tc>
        <w:tc>
          <w:tcPr>
            <w:tcW w:type="dxa" w:w="36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IT Solution Architecture</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Capability View</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Capability Model</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Capability Model</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Process View</w:t>
            </w:r>
          </w:p>
        </w:tc>
        <w:tc>
          <w:tcPr>
            <w:tcW w:type="dxa" w:w="3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Process Model</w:t>
            </w:r>
          </w:p>
        </w:tc>
        <w:tc>
          <w:tcPr>
            <w:tcW w:type="dxa" w:w="3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Process Model</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Data View</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Data Model</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Data Model</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Organisation View</w:t>
            </w:r>
          </w:p>
        </w:tc>
        <w:tc>
          <w:tcPr>
            <w:tcW w:type="dxa" w:w="3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Role Model</w:t>
            </w:r>
          </w:p>
        </w:tc>
        <w:tc>
          <w:tcPr>
            <w:tcW w:type="dxa" w:w="3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Application Role Model</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EXAM ALERT</w:t>
            </w:r>
          </w:p>
        </w:tc>
      </w:tr>
      <w:tr>
        <w:tc>
          <w:tcPr>
            <w:tcW w:type="dxa" w:w="9360"/>
            <w:tcBorders>
              <w:top w:val="single" w:color="BDD7EE" w:sz="1"/>
              <w:left w:val="single" w:color="BDD7EE" w:sz="1"/>
              <w:bottom w:val="single" w:color="BDD7EE" w:sz="1"/>
              <w:right w:val="single" w:color="BDD7EE" w:sz="1"/>
            </w:tcBorders>
            <w:shd w:fill="FFF2CC" w:val="clear"/>
            <w:tcMar>
              <w:top w:type="dxa" w:w="80"/>
              <w:left w:type="dxa" w:w="160"/>
              <w:bottom w:type="dxa" w:w="80"/>
              <w:right w:type="dxa" w:w="160"/>
            </w:tcMar>
          </w:tcPr>
          <w:p>
            <w:pPr>
              <w:spacing w:before="40" w:after="40"/>
            </w:pPr>
            <w:r>
              <w:rPr>
                <w:rFonts w:ascii="Arial" w:cs="Arial" w:eastAsia="Arial" w:hAnsi="Arial"/>
                <w:color w:val="1A1A1A"/>
                <w:sz w:val="22"/>
                <w:szCs w:val="22"/>
              </w:rPr>
              <w:t xml:space="preserve">Connecting lines between views are navigable links in LeanIX — not decorative. Click Business Capability → Solution Capability → Solution Component → APIs. This is the structural mechanism for business-IT alignment.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Definition</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RBA</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Describes complete business scope of enterprises in standardised, product-agnostic business language. Contains: Business Capability Models, Business Process Models (8 groups), Business Data Models, Business Organisation Models.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RSA — High-Level</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Broad scope. Strategic solution components, capabilities, high-level process overviews. First-level orientation.</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RSA — Detailed</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Specific scope. APIs, events, middleware content, data models. Run-time artifacts. Tested and validated.</w:t>
            </w:r>
          </w:p>
        </w:tc>
      </w:tr>
    </w:tbl>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7 — The Integrated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Tool</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Role</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SAP LeanIX EAM</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EA Management. Application portfolio, landscape visualisation. Hosts Business Reference Architecture. Complex IT landscapes (100+ systems).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SAP Signavio Process Explorer</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Access to RBA process content. 1,000+ metrics. 24-hour connection.</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SAP Signavio Process Manager</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process modelling. BPMN diagrams.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SAP Business Accelerator Hub</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APIs, integration content, RSA content. RSA solution variants.</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SAP Cloud ALM</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Execution and monitoring. Project management, issue tracking, service reports.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Step</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Activity</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1 — Ingest</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LeanIX ↔ Cloud ALM. Import landscape and project data.</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2 — Analyse</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Signavio. 1,000+ metrics. 24-hour connection.</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3 — Design</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LeanIX + Signavio together.</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4 — Plan</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LeanIX → Cloud ALM. Roadmaps to execution planning.</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5 — Execute &amp; Monitor</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Signavio + Cloud ALM.</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C55A11" w:val="clear"/>
            <w:tcMar>
              <w:top w:type="dxa" w:w="80"/>
              <w:left w:type="dxa" w:w="160"/>
              <w:bottom w:type="dxa" w:w="80"/>
              <w:right w:type="dxa" w:w="160"/>
            </w:tcMar>
          </w:tcPr>
          <w:p>
            <w:r>
              <w:rPr>
                <w:rFonts w:ascii="Arial" w:cs="Arial" w:eastAsia="Arial" w:hAnsi="Arial"/>
                <w:b/>
                <w:bCs/>
                <w:color w:val="FFFFFF"/>
                <w:sz w:val="22"/>
                <w:szCs w:val="22"/>
              </w:rPr>
              <w:t xml:space="preserve">⚠️  EXAM TRAP</w:t>
            </w:r>
          </w:p>
        </w:tc>
      </w:tr>
      <w:tr>
        <w:tc>
          <w:tcPr>
            <w:tcW w:type="dxa" w:w="9360"/>
            <w:tcBorders>
              <w:top w:val="single" w:color="BDD7EE" w:sz="1"/>
              <w:left w:val="single" w:color="BDD7EE" w:sz="1"/>
              <w:bottom w:val="single" w:color="BDD7EE" w:sz="1"/>
              <w:right w:val="single" w:color="BDD7EE" w:sz="1"/>
            </w:tcBorders>
            <w:shd w:fill="FCE4D6"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Cloud ALM is not optional. </w:t>
            </w:r>
            <w:r>
              <w:rPr>
                <w:rFonts w:ascii="Arial" w:cs="Arial" w:eastAsia="Arial" w:hAnsi="Arial"/>
                <w:color w:val="1A1A1A"/>
                <w:sz w:val="22"/>
                <w:szCs w:val="22"/>
              </w:rPr>
              <w:t xml:space="preserve">It is the execution layer — fifth tool. Some sources omit it. The exam includes it.</w:t>
            </w:r>
          </w:p>
        </w:tc>
      </w:tr>
    </w:tbl>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8 — EA Practice and Services</w:t>
      </w:r>
    </w:p>
    <w:p>
      <w:pPr>
        <w:pStyle w:val="Heading2"/>
        <w:spacing w:before="280" w:after="80"/>
      </w:pPr>
      <w:r>
        <w:rPr>
          <w:rFonts w:ascii="Arial" w:cs="Arial" w:eastAsia="Arial" w:hAnsi="Arial"/>
          <w:b/>
          <w:bCs/>
          <w:color w:val="2E75B6"/>
          <w:sz w:val="28"/>
          <w:szCs w:val="28"/>
        </w:rPr>
        <w:t xml:space="preserve">Four EA Organisational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Description and Risk</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Informal</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No dedicated EA team. Risk: misses all EA benefits long-term.</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Separated</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Each division independent. Risk: synergies missed.</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Federated</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Virtual team across units. Risk: collapses to Separated without conflict resolution.</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Centralised</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One central team. Risk: too large, perceived as policing.</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EA Practice Maturity — 8 Dimensions</w:t>
      </w:r>
    </w:p>
    <w:p>
      <w:pPr>
        <w:spacing w:before="60" w:after="100"/>
      </w:pPr>
      <w:r>
        <w:rPr>
          <w:rFonts w:ascii="Arial" w:cs="Arial" w:eastAsia="Arial" w:hAnsi="Arial"/>
          <w:color w:val="1A1A1A"/>
          <w:sz w:val="22"/>
          <w:szCs w:val="22"/>
        </w:rPr>
        <w:t xml:space="preserve">Spider web diagram. Five levels: Ad-Hoc → Optimised.</w:t>
      </w:r>
    </w:p>
    <w:p>
      <w:pPr>
        <w:spacing w:before="60" w:after="60"/>
      </w:pPr>
      <w:r>
        <w:t xml:space="preserve"/>
      </w:r>
    </w:p>
    <w:p>
      <w:pPr>
        <w:pStyle w:val="ListParagraph"/>
        <w:numPr>
          <w:ilvl w:val="0"/>
          <w:numId w:val="2"/>
        </w:numPr>
        <w:spacing w:before="40" w:after="40"/>
      </w:pPr>
      <w:r>
        <w:rPr>
          <w:rFonts w:ascii="Arial" w:cs="Arial" w:eastAsia="Arial" w:hAnsi="Arial"/>
          <w:color w:val="1A1A1A"/>
          <w:sz w:val="22"/>
          <w:szCs w:val="22"/>
        </w:rPr>
        <w:t xml:space="preserve">Business-IT Alignment</w:t>
      </w:r>
    </w:p>
    <w:p>
      <w:pPr>
        <w:pStyle w:val="ListParagraph"/>
        <w:numPr>
          <w:ilvl w:val="0"/>
          <w:numId w:val="2"/>
        </w:numPr>
        <w:spacing w:before="40" w:after="40"/>
      </w:pPr>
      <w:r>
        <w:rPr>
          <w:rFonts w:ascii="Arial" w:cs="Arial" w:eastAsia="Arial" w:hAnsi="Arial"/>
          <w:color w:val="1A1A1A"/>
          <w:sz w:val="22"/>
          <w:szCs w:val="22"/>
        </w:rPr>
        <w:t xml:space="preserve">Stakeholder Involvement</w:t>
      </w:r>
    </w:p>
    <w:p>
      <w:pPr>
        <w:pStyle w:val="ListParagraph"/>
        <w:numPr>
          <w:ilvl w:val="0"/>
          <w:numId w:val="2"/>
        </w:numPr>
        <w:spacing w:before="40" w:after="40"/>
      </w:pPr>
      <w:r>
        <w:rPr>
          <w:rFonts w:ascii="Arial" w:cs="Arial" w:eastAsia="Arial" w:hAnsi="Arial"/>
          <w:color w:val="1A1A1A"/>
          <w:sz w:val="22"/>
          <w:szCs w:val="22"/>
        </w:rPr>
        <w:t xml:space="preserve">Action &amp; Impact</w:t>
      </w:r>
    </w:p>
    <w:p>
      <w:pPr>
        <w:pStyle w:val="ListParagraph"/>
        <w:numPr>
          <w:ilvl w:val="0"/>
          <w:numId w:val="2"/>
        </w:numPr>
        <w:spacing w:before="40" w:after="40"/>
      </w:pPr>
      <w:r>
        <w:rPr>
          <w:rFonts w:ascii="Arial" w:cs="Arial" w:eastAsia="Arial" w:hAnsi="Arial"/>
          <w:color w:val="1A1A1A"/>
          <w:sz w:val="22"/>
          <w:szCs w:val="22"/>
        </w:rPr>
        <w:t xml:space="preserve">Architecture Development</w:t>
      </w:r>
    </w:p>
    <w:p>
      <w:pPr>
        <w:pStyle w:val="ListParagraph"/>
        <w:numPr>
          <w:ilvl w:val="0"/>
          <w:numId w:val="2"/>
        </w:numPr>
        <w:spacing w:before="40" w:after="40"/>
      </w:pPr>
      <w:r>
        <w:rPr>
          <w:rFonts w:ascii="Arial" w:cs="Arial" w:eastAsia="Arial" w:hAnsi="Arial"/>
          <w:color w:val="1A1A1A"/>
          <w:sz w:val="22"/>
          <w:szCs w:val="22"/>
        </w:rPr>
        <w:t xml:space="preserve">Architecture Process</w:t>
      </w:r>
    </w:p>
    <w:p>
      <w:pPr>
        <w:pStyle w:val="ListParagraph"/>
        <w:numPr>
          <w:ilvl w:val="0"/>
          <w:numId w:val="2"/>
        </w:numPr>
        <w:spacing w:before="40" w:after="40"/>
      </w:pPr>
      <w:r>
        <w:rPr>
          <w:rFonts w:ascii="Arial" w:cs="Arial" w:eastAsia="Arial" w:hAnsi="Arial"/>
          <w:color w:val="1A1A1A"/>
          <w:sz w:val="22"/>
          <w:szCs w:val="22"/>
        </w:rPr>
        <w:t xml:space="preserve">Organisation &amp; Governance</w:t>
      </w:r>
    </w:p>
    <w:p>
      <w:pPr>
        <w:pStyle w:val="ListParagraph"/>
        <w:numPr>
          <w:ilvl w:val="0"/>
          <w:numId w:val="2"/>
        </w:numPr>
        <w:spacing w:before="40" w:after="40"/>
      </w:pPr>
      <w:r>
        <w:rPr>
          <w:rFonts w:ascii="Arial" w:cs="Arial" w:eastAsia="Arial" w:hAnsi="Arial"/>
          <w:color w:val="1A1A1A"/>
          <w:sz w:val="22"/>
          <w:szCs w:val="22"/>
        </w:rPr>
        <w:t xml:space="preserve">Communication</w:t>
      </w:r>
    </w:p>
    <w:p>
      <w:pPr>
        <w:pStyle w:val="ListParagraph"/>
        <w:numPr>
          <w:ilvl w:val="0"/>
          <w:numId w:val="2"/>
        </w:numPr>
        <w:spacing w:before="40" w:after="40"/>
      </w:pPr>
      <w:r>
        <w:rPr>
          <w:rFonts w:ascii="Arial" w:cs="Arial" w:eastAsia="Arial" w:hAnsi="Arial"/>
          <w:color w:val="1A1A1A"/>
          <w:sz w:val="22"/>
          <w:szCs w:val="22"/>
        </w:rPr>
        <w:t xml:space="preserve">People Enablement</w:t>
      </w:r>
    </w:p>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9 — Key Artifacts by Domain</w:t>
      </w:r>
    </w:p>
    <w:p>
      <w:pPr>
        <w:pStyle w:val="Heading2"/>
        <w:spacing w:before="280" w:after="80"/>
      </w:pPr>
      <w:r>
        <w:rPr>
          <w:rFonts w:ascii="Arial" w:cs="Arial" w:eastAsia="Arial" w:hAnsi="Arial"/>
          <w:b/>
          <w:bCs/>
          <w:color w:val="2E75B6"/>
          <w:sz w:val="28"/>
          <w:szCs w:val="28"/>
        </w:rPr>
        <w:t xml:space="preserve">Architecture Vision</w:t>
      </w:r>
    </w:p>
    <w:p>
      <w:pPr>
        <w:pStyle w:val="ListParagraph"/>
        <w:numPr>
          <w:ilvl w:val="0"/>
          <w:numId w:val="2"/>
        </w:numPr>
        <w:spacing w:before="40" w:after="40"/>
      </w:pPr>
      <w:r>
        <w:rPr>
          <w:rFonts w:ascii="Arial" w:cs="Arial" w:eastAsia="Arial" w:hAnsi="Arial"/>
          <w:b/>
          <w:bCs/>
          <w:color w:val="1A1A1A"/>
          <w:sz w:val="22"/>
          <w:szCs w:val="22"/>
        </w:rPr>
        <w:t xml:space="preserve">Stakeholder Map </w:t>
      </w:r>
      <w:r>
        <w:rPr>
          <w:rFonts w:ascii="Arial" w:cs="Arial" w:eastAsia="Arial" w:hAnsi="Arial"/>
          <w:color w:val="1A1A1A"/>
          <w:sz w:val="22"/>
          <w:szCs w:val="22"/>
        </w:rPr>
        <w:t xml:space="preserve">— Promoters (High/+), Enthusiasts (Low/+), Opponents (High/-), Resisters (Low/-)</w:t>
      </w:r>
    </w:p>
    <w:p>
      <w:pPr>
        <w:pStyle w:val="ListParagraph"/>
        <w:numPr>
          <w:ilvl w:val="0"/>
          <w:numId w:val="2"/>
        </w:numPr>
        <w:spacing w:before="40" w:after="40"/>
      </w:pPr>
      <w:r>
        <w:rPr>
          <w:rFonts w:ascii="Arial" w:cs="Arial" w:eastAsia="Arial" w:hAnsi="Arial"/>
          <w:b/>
          <w:bCs/>
          <w:color w:val="1A1A1A"/>
          <w:sz w:val="22"/>
          <w:szCs w:val="22"/>
        </w:rPr>
        <w:t xml:space="preserve">Statement of Architecture Work </w:t>
      </w:r>
      <w:r>
        <w:rPr>
          <w:rFonts w:ascii="Arial" w:cs="Arial" w:eastAsia="Arial" w:hAnsi="Arial"/>
          <w:color w:val="1A1A1A"/>
          <w:sz w:val="22"/>
          <w:szCs w:val="22"/>
        </w:rPr>
        <w:t xml:space="preserve">— Contract. Signed Phase A. Required before Phase B.</w:t>
      </w:r>
    </w:p>
    <w:p>
      <w:pPr>
        <w:pStyle w:val="ListParagraph"/>
        <w:numPr>
          <w:ilvl w:val="0"/>
          <w:numId w:val="2"/>
        </w:numPr>
        <w:spacing w:before="40" w:after="40"/>
      </w:pPr>
      <w:r>
        <w:rPr>
          <w:rFonts w:ascii="Arial" w:cs="Arial" w:eastAsia="Arial" w:hAnsi="Arial"/>
          <w:b/>
          <w:bCs/>
          <w:color w:val="1A1A1A"/>
          <w:sz w:val="22"/>
          <w:szCs w:val="22"/>
        </w:rPr>
        <w:t xml:space="preserve">Solution Context Diagram </w:t>
      </w:r>
      <w:r>
        <w:rPr>
          <w:rFonts w:ascii="Arial" w:cs="Arial" w:eastAsia="Arial" w:hAnsi="Arial"/>
          <w:color w:val="1A1A1A"/>
          <w:sz w:val="22"/>
          <w:szCs w:val="22"/>
        </w:rPr>
        <w:t xml:space="preserve">— Org relationships. 10-minute test.</w:t>
      </w:r>
    </w:p>
    <w:p>
      <w:pPr>
        <w:pStyle w:val="ListParagraph"/>
        <w:numPr>
          <w:ilvl w:val="0"/>
          <w:numId w:val="2"/>
        </w:numPr>
        <w:spacing w:before="40" w:after="40"/>
      </w:pPr>
      <w:r>
        <w:rPr>
          <w:rFonts w:ascii="Arial" w:cs="Arial" w:eastAsia="Arial" w:hAnsi="Arial"/>
          <w:b/>
          <w:bCs/>
          <w:color w:val="1A1A1A"/>
          <w:sz w:val="22"/>
          <w:szCs w:val="22"/>
        </w:rPr>
        <w:t xml:space="preserve">Solution Concept Diagram </w:t>
      </w:r>
      <w:r>
        <w:rPr>
          <w:rFonts w:ascii="Arial" w:cs="Arial" w:eastAsia="Arial" w:hAnsi="Arial"/>
          <w:color w:val="1A1A1A"/>
          <w:sz w:val="22"/>
          <w:szCs w:val="22"/>
        </w:rPr>
        <w:t xml:space="preserve">— Technical pencil sketch.</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Strategy &amp; Motivation</w:t>
      </w:r>
    </w:p>
    <w:p>
      <w:pPr>
        <w:pStyle w:val="ListParagraph"/>
        <w:numPr>
          <w:ilvl w:val="0"/>
          <w:numId w:val="2"/>
        </w:numPr>
        <w:spacing w:before="40" w:after="40"/>
      </w:pPr>
      <w:r>
        <w:rPr>
          <w:rFonts w:ascii="Arial" w:cs="Arial" w:eastAsia="Arial" w:hAnsi="Arial"/>
          <w:b/>
          <w:bCs/>
          <w:color w:val="1A1A1A"/>
          <w:sz w:val="22"/>
          <w:szCs w:val="22"/>
        </w:rPr>
        <w:t xml:space="preserve">Business Context Diagram </w:t>
      </w:r>
      <w:r>
        <w:rPr>
          <w:rFonts w:ascii="Arial" w:cs="Arial" w:eastAsia="Arial" w:hAnsi="Arial"/>
          <w:color w:val="1A1A1A"/>
          <w:sz w:val="22"/>
          <w:szCs w:val="22"/>
        </w:rPr>
        <w:t xml:space="preserve">— Actors, flows, dependencies. NOT a process model.</w:t>
      </w:r>
    </w:p>
    <w:p>
      <w:pPr>
        <w:pStyle w:val="ListParagraph"/>
        <w:numPr>
          <w:ilvl w:val="0"/>
          <w:numId w:val="2"/>
        </w:numPr>
        <w:spacing w:before="40" w:after="40"/>
      </w:pPr>
      <w:r>
        <w:rPr>
          <w:rFonts w:ascii="Arial" w:cs="Arial" w:eastAsia="Arial" w:hAnsi="Arial"/>
          <w:b/>
          <w:bCs/>
          <w:color w:val="1A1A1A"/>
          <w:sz w:val="22"/>
          <w:szCs w:val="22"/>
        </w:rPr>
        <w:t xml:space="preserve">Business Strategy Map </w:t>
      </w:r>
      <w:r>
        <w:rPr>
          <w:rFonts w:ascii="Arial" w:cs="Arial" w:eastAsia="Arial" w:hAnsi="Arial"/>
          <w:color w:val="1A1A1A"/>
          <w:sz w:val="22"/>
          <w:szCs w:val="22"/>
        </w:rPr>
        <w:t xml:space="preserve">— Strategic Priority → Goals → Value Drivers → Capabilities → Initiatives</w:t>
      </w:r>
    </w:p>
    <w:p>
      <w:pPr>
        <w:pStyle w:val="ListParagraph"/>
        <w:numPr>
          <w:ilvl w:val="0"/>
          <w:numId w:val="2"/>
        </w:numPr>
        <w:spacing w:before="40" w:after="40"/>
      </w:pPr>
      <w:r>
        <w:rPr>
          <w:rFonts w:ascii="Arial" w:cs="Arial" w:eastAsia="Arial" w:hAnsi="Arial"/>
          <w:b/>
          <w:bCs/>
          <w:color w:val="1A1A1A"/>
          <w:sz w:val="22"/>
          <w:szCs w:val="22"/>
        </w:rPr>
        <w:t xml:space="preserve">Business Model Canvas </w:t>
      </w:r>
      <w:r>
        <w:rPr>
          <w:rFonts w:ascii="Arial" w:cs="Arial" w:eastAsia="Arial" w:hAnsi="Arial"/>
          <w:color w:val="1A1A1A"/>
          <w:sz w:val="22"/>
          <w:szCs w:val="22"/>
        </w:rPr>
        <w:t xml:space="preserve">— 9 blocks: Value Proposition → Customer Segments → Channels → Customer Relationships → Revenue Streams → Key Resources → Key Activities → Key Partners → Cost Structure</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Business Architecture</w:t>
      </w:r>
    </w:p>
    <w:p>
      <w:pPr>
        <w:pStyle w:val="ListParagraph"/>
        <w:numPr>
          <w:ilvl w:val="0"/>
          <w:numId w:val="2"/>
        </w:numPr>
        <w:spacing w:before="40" w:after="40"/>
      </w:pPr>
      <w:r>
        <w:rPr>
          <w:rFonts w:ascii="Arial" w:cs="Arial" w:eastAsia="Arial" w:hAnsi="Arial"/>
          <w:b/>
          <w:bCs/>
          <w:color w:val="1A1A1A"/>
          <w:sz w:val="22"/>
          <w:szCs w:val="22"/>
        </w:rPr>
        <w:t xml:space="preserve">Business Capability Map </w:t>
      </w:r>
      <w:r>
        <w:rPr>
          <w:rFonts w:ascii="Arial" w:cs="Arial" w:eastAsia="Arial" w:hAnsi="Arial"/>
          <w:color w:val="1A1A1A"/>
          <w:sz w:val="22"/>
          <w:szCs w:val="22"/>
        </w:rPr>
        <w:t xml:space="preserve">— 3 levels: Domain → Area → Capability. MECE. Business language only.</w:t>
      </w:r>
    </w:p>
    <w:p>
      <w:pPr>
        <w:pStyle w:val="ListParagraph"/>
        <w:numPr>
          <w:ilvl w:val="0"/>
          <w:numId w:val="2"/>
        </w:numPr>
        <w:spacing w:before="40" w:after="40"/>
      </w:pPr>
      <w:r>
        <w:rPr>
          <w:rFonts w:ascii="Arial" w:cs="Arial" w:eastAsia="Arial" w:hAnsi="Arial"/>
          <w:b/>
          <w:bCs/>
          <w:color w:val="1A1A1A"/>
          <w:sz w:val="22"/>
          <w:szCs w:val="22"/>
        </w:rPr>
        <w:t xml:space="preserve">Business Process Catalog </w:t>
      </w:r>
      <w:r>
        <w:rPr>
          <w:rFonts w:ascii="Arial" w:cs="Arial" w:eastAsia="Arial" w:hAnsi="Arial"/>
          <w:color w:val="1A1A1A"/>
          <w:sz w:val="22"/>
          <w:szCs w:val="22"/>
        </w:rPr>
        <w:t xml:space="preserve">— Structured catalog of all processes.</w:t>
      </w:r>
    </w:p>
    <w:p>
      <w:pPr>
        <w:pStyle w:val="ListParagraph"/>
        <w:numPr>
          <w:ilvl w:val="0"/>
          <w:numId w:val="2"/>
        </w:numPr>
        <w:spacing w:before="40" w:after="40"/>
      </w:pPr>
      <w:r>
        <w:rPr>
          <w:rFonts w:ascii="Arial" w:cs="Arial" w:eastAsia="Arial" w:hAnsi="Arial"/>
          <w:b/>
          <w:bCs/>
          <w:color w:val="1A1A1A"/>
          <w:sz w:val="22"/>
          <w:szCs w:val="22"/>
        </w:rPr>
        <w:t xml:space="preserve">Business Value Flow Diagram </w:t>
      </w:r>
      <w:r>
        <w:rPr>
          <w:rFonts w:ascii="Arial" w:cs="Arial" w:eastAsia="Arial" w:hAnsi="Arial"/>
          <w:color w:val="1A1A1A"/>
          <w:sz w:val="22"/>
          <w:szCs w:val="22"/>
        </w:rPr>
        <w:t xml:space="preserve">— No loops, no decision points. Easy stakeholder consumption.</w:t>
      </w:r>
    </w:p>
    <w:p>
      <w:pPr>
        <w:pStyle w:val="ListParagraph"/>
        <w:numPr>
          <w:ilvl w:val="0"/>
          <w:numId w:val="2"/>
        </w:numPr>
        <w:spacing w:before="40" w:after="40"/>
      </w:pPr>
      <w:r>
        <w:rPr>
          <w:rFonts w:ascii="Arial" w:cs="Arial" w:eastAsia="Arial" w:hAnsi="Arial"/>
          <w:b/>
          <w:bCs/>
          <w:color w:val="1A1A1A"/>
          <w:sz w:val="22"/>
          <w:szCs w:val="22"/>
        </w:rPr>
        <w:t xml:space="preserve">Organization Map </w:t>
      </w:r>
      <w:r>
        <w:rPr>
          <w:rFonts w:ascii="Arial" w:cs="Arial" w:eastAsia="Arial" w:hAnsi="Arial"/>
          <w:color w:val="1A1A1A"/>
          <w:sz w:val="22"/>
          <w:szCs w:val="22"/>
        </w:rPr>
        <w:t xml:space="preserve">— Working relationships. NOT an org chart.</w:t>
      </w:r>
    </w:p>
    <w:p>
      <w:pPr>
        <w:pStyle w:val="ListParagraph"/>
        <w:numPr>
          <w:ilvl w:val="0"/>
          <w:numId w:val="2"/>
        </w:numPr>
        <w:spacing w:before="40" w:after="40"/>
      </w:pPr>
      <w:r>
        <w:rPr>
          <w:rFonts w:ascii="Arial" w:cs="Arial" w:eastAsia="Arial" w:hAnsi="Arial"/>
          <w:b/>
          <w:bCs/>
          <w:color w:val="1A1A1A"/>
          <w:sz w:val="22"/>
          <w:szCs w:val="22"/>
        </w:rPr>
        <w:t xml:space="preserve">Business Data Catalog </w:t>
      </w:r>
      <w:r>
        <w:rPr>
          <w:rFonts w:ascii="Arial" w:cs="Arial" w:eastAsia="Arial" w:hAnsi="Arial"/>
          <w:color w:val="1A1A1A"/>
          <w:sz w:val="22"/>
          <w:szCs w:val="22"/>
        </w:rPr>
        <w:t xml:space="preserve">— Business information objects.</w:t>
      </w:r>
    </w:p>
    <w:p>
      <w:pPr>
        <w:pStyle w:val="ListParagraph"/>
        <w:numPr>
          <w:ilvl w:val="0"/>
          <w:numId w:val="2"/>
        </w:numPr>
        <w:spacing w:before="40" w:after="40"/>
      </w:pPr>
      <w:r>
        <w:rPr>
          <w:rFonts w:ascii="Arial" w:cs="Arial" w:eastAsia="Arial" w:hAnsi="Arial"/>
          <w:b/>
          <w:bCs/>
          <w:color w:val="1A1A1A"/>
          <w:sz w:val="22"/>
          <w:szCs w:val="22"/>
        </w:rPr>
        <w:t xml:space="preserve">Business Role Catalog </w:t>
      </w:r>
      <w:r>
        <w:rPr>
          <w:rFonts w:ascii="Arial" w:cs="Arial" w:eastAsia="Arial" w:hAnsi="Arial"/>
          <w:color w:val="1A1A1A"/>
          <w:sz w:val="22"/>
          <w:szCs w:val="22"/>
        </w:rPr>
        <w:t xml:space="preserve">— All internal and external roles. Product-agnostic.</w:t>
      </w:r>
    </w:p>
    <w:p>
      <w:pPr>
        <w:pStyle w:val="ListParagraph"/>
        <w:numPr>
          <w:ilvl w:val="0"/>
          <w:numId w:val="2"/>
        </w:numPr>
        <w:spacing w:before="40" w:after="40"/>
      </w:pPr>
      <w:r>
        <w:rPr>
          <w:rFonts w:ascii="Arial" w:cs="Arial" w:eastAsia="Arial" w:hAnsi="Arial"/>
          <w:b/>
          <w:bCs/>
          <w:color w:val="1A1A1A"/>
          <w:sz w:val="22"/>
          <w:szCs w:val="22"/>
        </w:rPr>
        <w:t xml:space="preserve">Business Footprint Diagram </w:t>
      </w:r>
      <w:r>
        <w:rPr>
          <w:rFonts w:ascii="Arial" w:cs="Arial" w:eastAsia="Arial" w:hAnsi="Arial"/>
          <w:color w:val="1A1A1A"/>
          <w:sz w:val="22"/>
          <w:szCs w:val="22"/>
        </w:rPr>
        <w:t xml:space="preserve">— Cross-domain X-ray: Strategy → Capabilities → Solution Components → Technology.</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Solution Architecture — Full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Artifact</w:t>
            </w:r>
          </w:p>
        </w:tc>
        <w:tc>
          <w:tcPr>
            <w:tcW w:type="dxa" w:w="18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Type</w:t>
            </w:r>
          </w:p>
        </w:tc>
        <w:tc>
          <w:tcPr>
            <w:tcW w:type="dxa" w:w="4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Key Characteristic</w:t>
            </w:r>
          </w:p>
        </w:tc>
      </w:tr>
      <w:tr>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Component Diagram</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STRUCTURAL</w:t>
            </w:r>
          </w:p>
        </w:tc>
        <w:tc>
          <w:tcPr>
            <w:tcW w:type="dxa" w:w="4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Components, groupings, Communication Channels. STATIC view.</w:t>
            </w:r>
          </w:p>
        </w:tc>
      </w:tr>
      <w:tr>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Value Flow Diagram</w:t>
            </w:r>
          </w:p>
        </w:tc>
        <w:tc>
          <w:tcPr>
            <w:tcW w:type="dxa" w:w="1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Abstract</w:t>
            </w:r>
          </w:p>
        </w:tc>
        <w:tc>
          <w:tcPr>
            <w:tcW w:type="dxa" w:w="4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activities mapped to Solution Components and Capabilities.</w:t>
            </w:r>
          </w:p>
        </w:tc>
      </w:tr>
      <w:tr>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Process Flow Diagram</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BEHAVIOURAL</w:t>
            </w:r>
          </w:p>
        </w:tc>
        <w:tc>
          <w:tcPr>
            <w:tcW w:type="dxa" w:w="4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BPMN 2.0. Pools = Deployment Units. Lanes = App Roles. DYNAMIC.</w:t>
            </w:r>
          </w:p>
        </w:tc>
      </w:tr>
      <w:tr>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Data Flow Diagram</w:t>
            </w:r>
          </w:p>
        </w:tc>
        <w:tc>
          <w:tcPr>
            <w:tcW w:type="dxa" w:w="1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Data</w:t>
            </w:r>
          </w:p>
        </w:tc>
        <w:tc>
          <w:tcPr>
            <w:tcW w:type="dxa" w:w="4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Data objects between components. System of Records to downstream.</w:t>
            </w:r>
          </w:p>
        </w:tc>
      </w:tr>
      <w:tr>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Software Distribution Diagram</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Phase C→D Bridge</w:t>
            </w:r>
          </w:p>
        </w:tc>
        <w:tc>
          <w:tcPr>
            <w:tcW w:type="dxa" w:w="4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Feeds Technology Architecture.</w:t>
            </w:r>
          </w:p>
        </w:tc>
      </w:tr>
      <w:tr>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Application Architecture Overview</w:t>
            </w:r>
          </w:p>
        </w:tc>
        <w:tc>
          <w:tcPr>
            <w:tcW w:type="dxa" w:w="1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Landscape</w:t>
            </w:r>
          </w:p>
        </w:tc>
        <w:tc>
          <w:tcPr>
            <w:tcW w:type="dxa" w:w="4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Full landscape view.</w:t>
            </w:r>
          </w:p>
        </w:tc>
      </w:tr>
      <w:tr>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Conceptional Data Diagram</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Data</w:t>
            </w:r>
          </w:p>
        </w:tc>
        <w:tc>
          <w:tcPr>
            <w:tcW w:type="dxa" w:w="4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High-level data model.</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C55A11" w:val="clear"/>
            <w:tcMar>
              <w:top w:type="dxa" w:w="80"/>
              <w:left w:type="dxa" w:w="160"/>
              <w:bottom w:type="dxa" w:w="80"/>
              <w:right w:type="dxa" w:w="160"/>
            </w:tcMar>
          </w:tcPr>
          <w:p>
            <w:r>
              <w:rPr>
                <w:rFonts w:ascii="Arial" w:cs="Arial" w:eastAsia="Arial" w:hAnsi="Arial"/>
                <w:b/>
                <w:bCs/>
                <w:color w:val="FFFFFF"/>
                <w:sz w:val="22"/>
                <w:szCs w:val="22"/>
              </w:rPr>
              <w:t xml:space="preserve">⚠️  EXAM TRAP</w:t>
            </w:r>
          </w:p>
        </w:tc>
      </w:tr>
      <w:tr>
        <w:tc>
          <w:tcPr>
            <w:tcW w:type="dxa" w:w="9360"/>
            <w:tcBorders>
              <w:top w:val="single" w:color="BDD7EE" w:sz="1"/>
              <w:left w:val="single" w:color="BDD7EE" w:sz="1"/>
              <w:bottom w:val="single" w:color="BDD7EE" w:sz="1"/>
              <w:right w:val="single" w:color="BDD7EE" w:sz="1"/>
            </w:tcBorders>
            <w:shd w:fill="FCE4D6"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Component Diagram = STRUCTURE. Process Flow = BEHAVIOUR. </w:t>
            </w:r>
            <w:r>
              <w:rPr>
                <w:rFonts w:ascii="Arial" w:cs="Arial" w:eastAsia="Arial" w:hAnsi="Arial"/>
                <w:color w:val="1A1A1A"/>
                <w:sz w:val="22"/>
                <w:szCs w:val="22"/>
              </w:rPr>
              <w:t xml:space="preserve">Most tested distinction in Domain 4.</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Technology Architecture</w:t>
      </w:r>
    </w:p>
    <w:p>
      <w:pPr>
        <w:pStyle w:val="ListParagraph"/>
        <w:numPr>
          <w:ilvl w:val="0"/>
          <w:numId w:val="2"/>
        </w:numPr>
        <w:spacing w:before="40" w:after="40"/>
      </w:pPr>
      <w:r>
        <w:rPr>
          <w:rFonts w:ascii="Arial" w:cs="Arial" w:eastAsia="Arial" w:hAnsi="Arial"/>
          <w:b/>
          <w:bCs/>
          <w:color w:val="1A1A1A"/>
          <w:sz w:val="22"/>
          <w:szCs w:val="22"/>
        </w:rPr>
        <w:t xml:space="preserve">Environments &amp; Location Diagram </w:t>
      </w:r>
      <w:r>
        <w:rPr>
          <w:rFonts w:ascii="Arial" w:cs="Arial" w:eastAsia="Arial" w:hAnsi="Arial"/>
          <w:color w:val="1A1A1A"/>
          <w:sz w:val="22"/>
          <w:szCs w:val="22"/>
        </w:rPr>
        <w:t xml:space="preserve">— ONLY artifact. Data centre locations, VPN, network.</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Roadmap &amp; Transition</w:t>
      </w:r>
    </w:p>
    <w:p>
      <w:pPr>
        <w:pStyle w:val="ListParagraph"/>
        <w:numPr>
          <w:ilvl w:val="0"/>
          <w:numId w:val="2"/>
        </w:numPr>
        <w:spacing w:before="40" w:after="40"/>
      </w:pPr>
      <w:r>
        <w:rPr>
          <w:rFonts w:ascii="Arial" w:cs="Arial" w:eastAsia="Arial" w:hAnsi="Arial"/>
          <w:b/>
          <w:bCs/>
          <w:color w:val="1A1A1A"/>
          <w:sz w:val="22"/>
          <w:szCs w:val="22"/>
        </w:rPr>
        <w:t xml:space="preserve">Architecture Roadmap </w:t>
      </w:r>
      <w:r>
        <w:rPr>
          <w:rFonts w:ascii="Arial" w:cs="Arial" w:eastAsia="Arial" w:hAnsi="Arial"/>
          <w:color w:val="1A1A1A"/>
          <w:sz w:val="22"/>
          <w:szCs w:val="22"/>
        </w:rPr>
        <w:t xml:space="preserve">— 3-5 years. ONE entity type — never mix.</w:t>
      </w:r>
    </w:p>
    <w:p>
      <w:pPr>
        <w:pStyle w:val="ListParagraph"/>
        <w:numPr>
          <w:ilvl w:val="0"/>
          <w:numId w:val="2"/>
        </w:numPr>
        <w:spacing w:before="40" w:after="40"/>
      </w:pPr>
      <w:r>
        <w:rPr>
          <w:rFonts w:ascii="Arial" w:cs="Arial" w:eastAsia="Arial" w:hAnsi="Arial"/>
          <w:b/>
          <w:bCs/>
          <w:color w:val="1A1A1A"/>
          <w:sz w:val="22"/>
          <w:szCs w:val="22"/>
        </w:rPr>
        <w:t xml:space="preserve">Work Breakdown Structure </w:t>
      </w:r>
      <w:r>
        <w:rPr>
          <w:rFonts w:ascii="Arial" w:cs="Arial" w:eastAsia="Arial" w:hAnsi="Arial"/>
          <w:color w:val="1A1A1A"/>
          <w:sz w:val="22"/>
          <w:szCs w:val="22"/>
        </w:rPr>
        <w:t xml:space="preserve">— Deliverable-oriented. Basis for effort/cost.</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Requirements &amp; Governance — ALL Phases</w:t>
      </w:r>
    </w:p>
    <w:p>
      <w:pPr>
        <w:pStyle w:val="ListParagraph"/>
        <w:numPr>
          <w:ilvl w:val="0"/>
          <w:numId w:val="2"/>
        </w:numPr>
        <w:spacing w:before="40" w:after="40"/>
      </w:pPr>
      <w:r>
        <w:rPr>
          <w:rFonts w:ascii="Arial" w:cs="Arial" w:eastAsia="Arial" w:hAnsi="Arial"/>
          <w:b/>
          <w:bCs/>
          <w:color w:val="1A1A1A"/>
          <w:sz w:val="22"/>
          <w:szCs w:val="22"/>
        </w:rPr>
        <w:t xml:space="preserve">Requirements Catalog</w:t>
      </w:r>
    </w:p>
    <w:p>
      <w:pPr>
        <w:pStyle w:val="ListParagraph"/>
        <w:numPr>
          <w:ilvl w:val="0"/>
          <w:numId w:val="2"/>
        </w:numPr>
        <w:spacing w:before="40" w:after="40"/>
      </w:pPr>
      <w:r>
        <w:rPr>
          <w:rFonts w:ascii="Arial" w:cs="Arial" w:eastAsia="Arial" w:hAnsi="Arial"/>
          <w:b/>
          <w:bCs/>
          <w:color w:val="1A1A1A"/>
          <w:sz w:val="22"/>
          <w:szCs w:val="22"/>
        </w:rPr>
        <w:t xml:space="preserve">Architecture Principles Catalog </w:t>
      </w:r>
      <w:r>
        <w:rPr>
          <w:rFonts w:ascii="Arial" w:cs="Arial" w:eastAsia="Arial" w:hAnsi="Arial"/>
          <w:color w:val="1A1A1A"/>
          <w:sz w:val="22"/>
          <w:szCs w:val="22"/>
        </w:rPr>
        <w:t xml:space="preserve">— 10-20 principles.</w:t>
      </w:r>
    </w:p>
    <w:p>
      <w:pPr>
        <w:pStyle w:val="ListParagraph"/>
        <w:numPr>
          <w:ilvl w:val="0"/>
          <w:numId w:val="2"/>
        </w:numPr>
        <w:spacing w:before="40" w:after="40"/>
      </w:pPr>
      <w:r>
        <w:rPr>
          <w:rFonts w:ascii="Arial" w:cs="Arial" w:eastAsia="Arial" w:hAnsi="Arial"/>
          <w:b/>
          <w:bCs/>
          <w:color w:val="1A1A1A"/>
          <w:sz w:val="22"/>
          <w:szCs w:val="22"/>
        </w:rPr>
        <w:t xml:space="preserve">Risk Catalog</w:t>
      </w:r>
    </w:p>
    <w:p>
      <w:pPr>
        <w:pStyle w:val="ListParagraph"/>
        <w:numPr>
          <w:ilvl w:val="0"/>
          <w:numId w:val="2"/>
        </w:numPr>
        <w:spacing w:before="40" w:after="40"/>
      </w:pPr>
      <w:r>
        <w:rPr>
          <w:rFonts w:ascii="Arial" w:cs="Arial" w:eastAsia="Arial" w:hAnsi="Arial"/>
          <w:b/>
          <w:bCs/>
          <w:color w:val="1A1A1A"/>
          <w:sz w:val="22"/>
          <w:szCs w:val="22"/>
        </w:rPr>
        <w:t xml:space="preserve">Architectural Decision Catalog</w:t>
      </w:r>
    </w:p>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10 — Exam Traps Master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4080"/>
      </w:tblGrid>
      <w:tr>
        <w:tc>
          <w:tcPr>
            <w:tcW w:type="dxa" w:w="24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Trap</w:t>
            </w:r>
          </w:p>
        </w:tc>
        <w:tc>
          <w:tcPr>
            <w:tcW w:type="dxa" w:w="28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Wrong</w:t>
            </w:r>
          </w:p>
        </w:tc>
        <w:tc>
          <w:tcPr>
            <w:tcW w:type="dxa" w:w="40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Correct</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Origin of methodology</w:t>
            </w:r>
          </w:p>
        </w:tc>
        <w:tc>
          <w:tcPr>
            <w:tcW w:type="dxa" w:w="2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TOGAF</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IndRA</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Practice vs Services</w:t>
            </w:r>
          </w:p>
        </w:tc>
        <w:tc>
          <w:tcPr>
            <w:tcW w:type="dxa" w:w="2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Practice = external</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Practice = internal. Services = external.</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Metro Map</w:t>
            </w:r>
          </w:p>
        </w:tc>
        <w:tc>
          <w:tcPr>
            <w:tcW w:type="dxa" w:w="2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Waterfall sequence</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Natural flow, iterative</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Requirements &amp; Governance</w:t>
            </w:r>
          </w:p>
        </w:tc>
        <w:tc>
          <w:tcPr>
            <w:tcW w:type="dxa" w:w="2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Phase A only</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ALL phases</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w:t>
            </w:r>
          </w:p>
        </w:tc>
        <w:tc>
          <w:tcPr>
            <w:tcW w:type="dxa" w:w="2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Includes hardware/networking</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Capabilities, processes, data, org only</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TOGAF terminology</w:t>
            </w:r>
          </w:p>
        </w:tc>
        <w:tc>
          <w:tcPr>
            <w:tcW w:type="dxa" w:w="2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Driver, Objective</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Strategic Priority, Value Driver</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Methodology domains</w:t>
            </w:r>
          </w:p>
        </w:tc>
        <w:tc>
          <w:tcPr>
            <w:tcW w:type="dxa" w:w="2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7 (Metro Map)</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3 core + IT Landscape connection</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Technique vs Artifact</w:t>
            </w:r>
          </w:p>
        </w:tc>
        <w:tc>
          <w:tcPr>
            <w:tcW w:type="dxa" w:w="2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Capability mapping = artifact</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Capability mapping = technique. BCM = artifact.</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RSA</w:t>
            </w:r>
          </w:p>
        </w:tc>
        <w:tc>
          <w:tcPr>
            <w:tcW w:type="dxa" w:w="2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Identical across customers</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Adapted per customer scenario</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Principles</w:t>
            </w:r>
          </w:p>
        </w:tc>
        <w:tc>
          <w:tcPr>
            <w:tcW w:type="dxa" w:w="2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Rigid rules</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Guardrails — adaptable</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Component vs Process Flow</w:t>
            </w:r>
          </w:p>
        </w:tc>
        <w:tc>
          <w:tcPr>
            <w:tcW w:type="dxa" w:w="2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Both show behaviour</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Component = STRUCTURE. Process Flow = BEHAVIOUR.</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EA governance</w:t>
            </w:r>
          </w:p>
        </w:tc>
        <w:tc>
          <w:tcPr>
            <w:tcW w:type="dxa" w:w="2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EA rules everything</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EA connects as equal partner</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Absolute language</w:t>
            </w:r>
          </w:p>
        </w:tc>
        <w:tc>
          <w:tcPr>
            <w:tcW w:type="dxa" w:w="2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'Prevents all threats'</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EA supports, guides — never absolute</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Phase E</w:t>
            </w:r>
          </w:p>
        </w:tc>
        <w:tc>
          <w:tcPr>
            <w:tcW w:type="dxa" w:w="2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Defines target</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Identifies projects to REALISE target</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Lead to Cash vs Finance</w:t>
            </w:r>
          </w:p>
        </w:tc>
        <w:tc>
          <w:tcPr>
            <w:tcW w:type="dxa" w:w="2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 is Finance</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 + payment collection = Lead to Cash. Close = Finance.</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Acquire to Decommission</w:t>
            </w:r>
          </w:p>
        </w:tc>
        <w:tc>
          <w:tcPr>
            <w:tcW w:type="dxa" w:w="2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Software decommission</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Physical/operational asset lifecycle only</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Enterprise Transformation Assessment</w:t>
            </w:r>
          </w:p>
        </w:tc>
        <w:tc>
          <w:tcPr>
            <w:tcW w:type="dxa" w:w="28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One activity</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THREE activities: EA Practice, BCT, Transformation Readiness</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Artifacts for stakeholders</w:t>
            </w:r>
          </w:p>
        </w:tc>
        <w:tc>
          <w:tcPr>
            <w:tcW w:type="dxa" w:w="28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Produce all Metro Map artifacts</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Select based on stakeholder needs only</w:t>
            </w:r>
          </w:p>
        </w:tc>
      </w:tr>
    </w:tbl>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11 — Quick Reference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Term</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Official SAP Definition</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Activity</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Work activity creating value for internal or external customer. Requires Business Capability. Building block of Business Processes.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Capability</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Organisation's capacity to perform Business Activities. WHAT the business requires — not HOW. Unique and independent. Business language. May possess — gaps expected.</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Capability Model</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Multi-level hierarchy of Business Capabilities. Observes MECE. Three levels: Domain → Area → Capability.</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Process</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Combination of value-adding Business Activities to reach a defined business goal.</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Process Variation</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Executable version of a generic process for a specific industry, business model, or use case.</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Role</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Defines a general job profile. Product-agnostic. Implemented by Application Roles in SAP products.</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Application Role</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Implements complete or parts of a Business Role within a specific SAP software product.</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Capability</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Functional ability of software components that addresses a Business Capability. Zero, one, or many per Business Capability.</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Deployment Unit</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Components that can operate separately. Interactions BETWEEN units modelled. Interactions WITHIN units not.</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Communication Channel</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Integration between Deployment Units in Solution Component Diagrams. Bundles one or many Message Flows.</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TIME Model</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Tolerate (high tech/low functional), Invest (high/high), Migrate (low tech/high functional), Eliminate (low/low).</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6R Framework</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Cloud migration options: Rehost, Retire, Replatform, Repurchase, Refactor/Re-architect, Retain.</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Clean Core</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Keep S/4HANA core standard. Extend via Key User Extensibility, Developer Extensibility, or Side-by-Side on BTP.</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ISA-M</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Integration Solution Advisory Methodology. Four domains: Process, Data, Analytics, IoT.</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O-Data</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Operational data — hard facts from systems (custom code reports, process KPIs, performance data).</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X-Data</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Experience data — human sentiments, surveys, stakeholder feedback on disruptions.</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Brownfield</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System conversion approach. Preserves existing config and data. For established business models.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Greenfield</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New implementation. Maximum standardisation. For new business models or complete transformation.</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Selective Data Transition</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Greenfield processes with selective historical data migration. Used in M&amp;A carve-outs.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MECE</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Mutually Exclusive and Collectively Exhaustive. Governs Business Capability Model structure.</w:t>
            </w:r>
          </w:p>
        </w:tc>
      </w:tr>
    </w:tbl>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12 — Session 1 Study Checklist</w:t>
      </w:r>
    </w:p>
    <w:p>
      <w:pPr>
        <w:pStyle w:val="Heading2"/>
        <w:spacing w:before="280" w:after="80"/>
      </w:pPr>
      <w:r>
        <w:rPr>
          <w:rFonts w:ascii="Arial" w:cs="Arial" w:eastAsia="Arial" w:hAnsi="Arial"/>
          <w:b/>
          <w:bCs/>
          <w:color w:val="2E75B6"/>
          <w:sz w:val="28"/>
          <w:szCs w:val="28"/>
        </w:rPr>
        <w:t xml:space="preserve">Framework Fundamentals</w:t>
      </w:r>
    </w:p>
    <w:p>
      <w:pPr>
        <w:pStyle w:val="ListParagraph"/>
        <w:numPr>
          <w:ilvl w:val="0"/>
          <w:numId w:val="2"/>
        </w:numPr>
        <w:spacing w:before="40" w:after="40"/>
      </w:pPr>
      <w:r>
        <w:rPr>
          <w:rFonts w:ascii="Arial" w:cs="Arial" w:eastAsia="Arial" w:hAnsi="Arial"/>
          <w:color w:val="1A1A1A"/>
          <w:sz w:val="22"/>
          <w:szCs w:val="22"/>
        </w:rPr>
        <w:t xml:space="preserve">Can state the one-sentence purpose of SAP EAF from memory</w:t>
      </w:r>
    </w:p>
    <w:p>
      <w:pPr>
        <w:pStyle w:val="ListParagraph"/>
        <w:numPr>
          <w:ilvl w:val="0"/>
          <w:numId w:val="2"/>
        </w:numPr>
        <w:spacing w:before="40" w:after="40"/>
      </w:pPr>
      <w:r>
        <w:rPr>
          <w:rFonts w:ascii="Arial" w:cs="Arial" w:eastAsia="Arial" w:hAnsi="Arial"/>
          <w:color w:val="1A1A1A"/>
          <w:sz w:val="22"/>
          <w:szCs w:val="22"/>
        </w:rPr>
        <w:t xml:space="preserve">Can name all five building blocks and distinguish Practice from Services</w:t>
      </w:r>
    </w:p>
    <w:p>
      <w:pPr>
        <w:pStyle w:val="ListParagraph"/>
        <w:numPr>
          <w:ilvl w:val="0"/>
          <w:numId w:val="2"/>
        </w:numPr>
        <w:spacing w:before="40" w:after="40"/>
      </w:pPr>
      <w:r>
        <w:rPr>
          <w:rFonts w:ascii="Arial" w:cs="Arial" w:eastAsia="Arial" w:hAnsi="Arial"/>
          <w:color w:val="1A1A1A"/>
          <w:sz w:val="22"/>
          <w:szCs w:val="22"/>
        </w:rPr>
        <w:t xml:space="preserve">Know IndRA as the origin and the 3D-ADM</w:t>
      </w:r>
    </w:p>
    <w:p>
      <w:pPr>
        <w:pStyle w:val="ListParagraph"/>
        <w:numPr>
          <w:ilvl w:val="0"/>
          <w:numId w:val="2"/>
        </w:numPr>
        <w:spacing w:before="40" w:after="40"/>
      </w:pPr>
      <w:r>
        <w:rPr>
          <w:rFonts w:ascii="Arial" w:cs="Arial" w:eastAsia="Arial" w:hAnsi="Arial"/>
          <w:color w:val="1A1A1A"/>
          <w:sz w:val="22"/>
          <w:szCs w:val="22"/>
        </w:rPr>
        <w:t xml:space="preserve">Know the three interrelated dimensions (methodology, reference content, tooling)</w:t>
      </w:r>
    </w:p>
    <w:p>
      <w:pPr>
        <w:pStyle w:val="ListParagraph"/>
        <w:numPr>
          <w:ilvl w:val="0"/>
          <w:numId w:val="2"/>
        </w:numPr>
        <w:spacing w:before="40" w:after="40"/>
      </w:pPr>
      <w:r>
        <w:rPr>
          <w:rFonts w:ascii="Arial" w:cs="Arial" w:eastAsia="Arial" w:hAnsi="Arial"/>
          <w:color w:val="1A1A1A"/>
          <w:sz w:val="22"/>
          <w:szCs w:val="22"/>
        </w:rPr>
        <w:t xml:space="preserve">Can list the three core methodology domains</w:t>
      </w:r>
    </w:p>
    <w:p>
      <w:pPr>
        <w:pStyle w:val="ListParagraph"/>
        <w:numPr>
          <w:ilvl w:val="0"/>
          <w:numId w:val="2"/>
        </w:numPr>
        <w:spacing w:before="40" w:after="40"/>
      </w:pPr>
      <w:r>
        <w:rPr>
          <w:rFonts w:ascii="Arial" w:cs="Arial" w:eastAsia="Arial" w:hAnsi="Arial"/>
          <w:color w:val="1A1A1A"/>
          <w:sz w:val="22"/>
          <w:szCs w:val="22"/>
        </w:rPr>
        <w:t xml:space="preserve">Can explain why the Metro Map is NOT a sequence</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TOGAF and ADM</w:t>
      </w:r>
    </w:p>
    <w:p>
      <w:pPr>
        <w:pStyle w:val="ListParagraph"/>
        <w:numPr>
          <w:ilvl w:val="0"/>
          <w:numId w:val="2"/>
        </w:numPr>
        <w:spacing w:before="40" w:after="40"/>
      </w:pPr>
      <w:r>
        <w:rPr>
          <w:rFonts w:ascii="Arial" w:cs="Arial" w:eastAsia="Arial" w:hAnsi="Arial"/>
          <w:color w:val="1A1A1A"/>
          <w:sz w:val="22"/>
          <w:szCs w:val="22"/>
        </w:rPr>
        <w:t xml:space="preserve">Can name all ADM phases in order</w:t>
      </w:r>
    </w:p>
    <w:p>
      <w:pPr>
        <w:pStyle w:val="ListParagraph"/>
        <w:numPr>
          <w:ilvl w:val="0"/>
          <w:numId w:val="2"/>
        </w:numPr>
        <w:spacing w:before="40" w:after="40"/>
      </w:pPr>
      <w:r>
        <w:rPr>
          <w:rFonts w:ascii="Arial" w:cs="Arial" w:eastAsia="Arial" w:hAnsi="Arial"/>
          <w:color w:val="1A1A1A"/>
          <w:sz w:val="22"/>
          <w:szCs w:val="22"/>
        </w:rPr>
        <w:t xml:space="preserve">Know Phase E identifies projects and transition plans</w:t>
      </w:r>
    </w:p>
    <w:p>
      <w:pPr>
        <w:pStyle w:val="ListParagraph"/>
        <w:numPr>
          <w:ilvl w:val="0"/>
          <w:numId w:val="2"/>
        </w:numPr>
        <w:spacing w:before="40" w:after="40"/>
      </w:pPr>
      <w:r>
        <w:rPr>
          <w:rFonts w:ascii="Arial" w:cs="Arial" w:eastAsia="Arial" w:hAnsi="Arial"/>
          <w:color w:val="1A1A1A"/>
          <w:sz w:val="22"/>
          <w:szCs w:val="22"/>
        </w:rPr>
        <w:t xml:space="preserve">Know SAP terminology vs TOGAF terminology</w:t>
      </w:r>
    </w:p>
    <w:p>
      <w:pPr>
        <w:pStyle w:val="ListParagraph"/>
        <w:numPr>
          <w:ilvl w:val="0"/>
          <w:numId w:val="2"/>
        </w:numPr>
        <w:spacing w:before="40" w:after="40"/>
      </w:pPr>
      <w:r>
        <w:rPr>
          <w:rFonts w:ascii="Arial" w:cs="Arial" w:eastAsia="Arial" w:hAnsi="Arial"/>
          <w:color w:val="1A1A1A"/>
          <w:sz w:val="22"/>
          <w:szCs w:val="22"/>
        </w:rPr>
        <w:t xml:space="preserve">Can explain the three types of tailoring in Preliminary Phase</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Reference Architecture and Artifacts</w:t>
      </w:r>
    </w:p>
    <w:p>
      <w:pPr>
        <w:pStyle w:val="ListParagraph"/>
        <w:numPr>
          <w:ilvl w:val="0"/>
          <w:numId w:val="2"/>
        </w:numPr>
        <w:spacing w:before="40" w:after="40"/>
      </w:pPr>
      <w:r>
        <w:rPr>
          <w:rFonts w:ascii="Arial" w:cs="Arial" w:eastAsia="Arial" w:hAnsi="Arial"/>
          <w:color w:val="1A1A1A"/>
          <w:sz w:val="22"/>
          <w:szCs w:val="22"/>
        </w:rPr>
        <w:t xml:space="preserve">Know all four views and their business/IT pairs</w:t>
      </w:r>
    </w:p>
    <w:p>
      <w:pPr>
        <w:pStyle w:val="ListParagraph"/>
        <w:numPr>
          <w:ilvl w:val="0"/>
          <w:numId w:val="2"/>
        </w:numPr>
        <w:spacing w:before="40" w:after="40"/>
      </w:pPr>
      <w:r>
        <w:rPr>
          <w:rFonts w:ascii="Arial" w:cs="Arial" w:eastAsia="Arial" w:hAnsi="Arial"/>
          <w:color w:val="1A1A1A"/>
          <w:sz w:val="22"/>
          <w:szCs w:val="22"/>
        </w:rPr>
        <w:t xml:space="preserve">Can name the 8 Business Process Groups with their domains</w:t>
      </w:r>
    </w:p>
    <w:p>
      <w:pPr>
        <w:pStyle w:val="ListParagraph"/>
        <w:numPr>
          <w:ilvl w:val="0"/>
          <w:numId w:val="2"/>
        </w:numPr>
        <w:spacing w:before="40" w:after="40"/>
      </w:pPr>
      <w:r>
        <w:rPr>
          <w:rFonts w:ascii="Arial" w:cs="Arial" w:eastAsia="Arial" w:hAnsi="Arial"/>
          <w:color w:val="1A1A1A"/>
          <w:sz w:val="22"/>
          <w:szCs w:val="22"/>
        </w:rPr>
        <w:t xml:space="preserve">Know the full artifact list per domain including six new artifacts</w:t>
      </w:r>
    </w:p>
    <w:p>
      <w:pPr>
        <w:pStyle w:val="ListParagraph"/>
        <w:numPr>
          <w:ilvl w:val="0"/>
          <w:numId w:val="2"/>
        </w:numPr>
        <w:spacing w:before="40" w:after="40"/>
      </w:pPr>
      <w:r>
        <w:rPr>
          <w:rFonts w:ascii="Arial" w:cs="Arial" w:eastAsia="Arial" w:hAnsi="Arial"/>
          <w:color w:val="1A1A1A"/>
          <w:sz w:val="22"/>
          <w:szCs w:val="22"/>
        </w:rPr>
        <w:t xml:space="preserve">Know Component Diagram = Structure, Process Flow = Behaviour</w:t>
      </w:r>
    </w:p>
    <w:p>
      <w:pPr>
        <w:pStyle w:val="ListParagraph"/>
        <w:numPr>
          <w:ilvl w:val="0"/>
          <w:numId w:val="2"/>
        </w:numPr>
        <w:spacing w:before="40" w:after="40"/>
      </w:pPr>
      <w:r>
        <w:rPr>
          <w:rFonts w:ascii="Arial" w:cs="Arial" w:eastAsia="Arial" w:hAnsi="Arial"/>
          <w:color w:val="1A1A1A"/>
          <w:sz w:val="22"/>
          <w:szCs w:val="22"/>
        </w:rPr>
        <w:t xml:space="preserve">Know Requirements &amp; Governance has FOUR artifacts — all cross-cutting</w:t>
      </w:r>
    </w:p>
    <w:p>
      <w:pPr>
        <w:pStyle w:val="ListParagraph"/>
        <w:numPr>
          <w:ilvl w:val="0"/>
          <w:numId w:val="2"/>
        </w:numPr>
        <w:spacing w:before="40" w:after="40"/>
      </w:pPr>
      <w:r>
        <w:rPr>
          <w:rFonts w:ascii="Arial" w:cs="Arial" w:eastAsia="Arial" w:hAnsi="Arial"/>
          <w:color w:val="1A1A1A"/>
          <w:sz w:val="22"/>
          <w:szCs w:val="22"/>
        </w:rPr>
        <w:t xml:space="preserve">Know Enterprise Transformation Assessment = THREE activities</w:t>
      </w:r>
    </w:p>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13 — RBA Deep Dive</w:t>
      </w:r>
    </w:p>
    <w:p>
      <w:pPr>
        <w:spacing w:before="60" w:after="100"/>
      </w:pPr>
      <w:r>
        <w:rPr>
          <w:rFonts w:ascii="Arial" w:cs="Arial" w:eastAsia="Arial" w:hAnsi="Arial"/>
          <w:color w:val="1A1A1A"/>
          <w:sz w:val="22"/>
          <w:szCs w:val="22"/>
        </w:rPr>
        <w:t xml:space="preserve">The RBA is based on </w:t>
      </w:r>
      <w:r>
        <w:rPr>
          <w:rFonts w:ascii="Arial" w:cs="Arial" w:eastAsia="Arial" w:hAnsi="Arial"/>
          <w:b/>
          <w:bCs/>
          <w:color w:val="1A1A1A"/>
          <w:sz w:val="22"/>
          <w:szCs w:val="22"/>
        </w:rPr>
        <w:t xml:space="preserve">SAP's 50 years of industry experience</w:t>
      </w:r>
      <w:r>
        <w:rPr>
          <w:rFonts w:ascii="Arial" w:cs="Arial" w:eastAsia="Arial" w:hAnsi="Arial"/>
          <w:color w:val="1A1A1A"/>
          <w:sz w:val="22"/>
          <w:szCs w:val="22"/>
        </w:rPr>
        <w:t xml:space="preserve"> and aligned with APQC. Distilled from real enterprise operations — not theoretical.</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Four Enterprise Domains — Official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040"/>
        <w:gridCol w:w="1920"/>
      </w:tblGrid>
      <w:tr>
        <w:tc>
          <w:tcPr>
            <w:tcW w:type="dxa" w:w="24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Domain</w:t>
            </w:r>
          </w:p>
        </w:tc>
        <w:tc>
          <w:tcPr>
            <w:tcW w:type="dxa" w:w="504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Official Definition</w:t>
            </w:r>
          </w:p>
        </w:tc>
        <w:tc>
          <w:tcPr>
            <w:tcW w:type="dxa" w:w="192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Colour</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Products &amp; Services</w:t>
            </w:r>
          </w:p>
        </w:tc>
        <w:tc>
          <w:tcPr>
            <w:tcW w:type="dxa" w:w="504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Developing and managing products and services</w:t>
            </w:r>
          </w:p>
        </w:tc>
        <w:tc>
          <w:tcPr>
            <w:tcW w:type="dxa" w:w="19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Red</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Supply</w:t>
            </w:r>
          </w:p>
        </w:tc>
        <w:tc>
          <w:tcPr>
            <w:tcW w:type="dxa" w:w="504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Fulfilling the demand for products and services</w:t>
            </w:r>
          </w:p>
        </w:tc>
        <w:tc>
          <w:tcPr>
            <w:tcW w:type="dxa" w:w="192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Green</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Customer</w:t>
            </w:r>
          </w:p>
        </w:tc>
        <w:tc>
          <w:tcPr>
            <w:tcW w:type="dxa" w:w="504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Generating the demand for products and services</w:t>
            </w:r>
          </w:p>
        </w:tc>
        <w:tc>
          <w:tcPr>
            <w:tcW w:type="dxa" w:w="19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Blue</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Corporate</w:t>
            </w:r>
          </w:p>
        </w:tc>
        <w:tc>
          <w:tcPr>
            <w:tcW w:type="dxa" w:w="504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Planning and managing the enterprise</w:t>
            </w:r>
          </w:p>
        </w:tc>
        <w:tc>
          <w:tcPr>
            <w:tcW w:type="dxa" w:w="192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Yellow/Orange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375623" w:val="clear"/>
            <w:tcMar>
              <w:top w:type="dxa" w:w="80"/>
              <w:left w:type="dxa" w:w="160"/>
              <w:bottom w:type="dxa" w:w="80"/>
              <w:right w:type="dxa" w:w="160"/>
            </w:tcMar>
          </w:tcPr>
          <w:p>
            <w:r>
              <w:rPr>
                <w:rFonts w:ascii="Arial" w:cs="Arial" w:eastAsia="Arial" w:hAnsi="Arial"/>
                <w:b/>
                <w:bCs/>
                <w:color w:val="FFFFFF"/>
                <w:sz w:val="22"/>
                <w:szCs w:val="22"/>
              </w:rPr>
              <w:t xml:space="preserve">💡  KEY INSIGHT</w:t>
            </w:r>
          </w:p>
        </w:tc>
      </w:tr>
      <w:tr>
        <w:tc>
          <w:tcPr>
            <w:tcW w:type="dxa" w:w="9360"/>
            <w:tcBorders>
              <w:top w:val="single" w:color="BDD7EE" w:sz="1"/>
              <w:left w:val="single" w:color="BDD7EE" w:sz="1"/>
              <w:bottom w:val="single" w:color="BDD7EE" w:sz="1"/>
              <w:right w:val="single" w:color="BDD7EE" w:sz="1"/>
            </w:tcBorders>
            <w:shd w:fill="E2EFDA"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Verb mapping trick: </w:t>
            </w:r>
            <w:r>
              <w:rPr>
                <w:rFonts w:ascii="Arial" w:cs="Arial" w:eastAsia="Arial" w:hAnsi="Arial"/>
                <w:color w:val="1A1A1A"/>
                <w:sz w:val="22"/>
                <w:szCs w:val="22"/>
              </w:rPr>
              <w:t xml:space="preserve">Map the verb to the domain. 'Managing supplier contracts' → fulfilling demand → Supply. 'Managing accounts payable' → planning and managing → Corporate.</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RBA Decomposition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Level</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Entity</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1</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Enterprise Domain (4 total)</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2</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Domain — Level 1 of BCM</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3</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Area — Level 2 of BCM</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4</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Capability — Level 3 of BCM (WHAT)</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5</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Activity — HOW value is generated using capabilities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6</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Process — END-TO-END combination of Business Activities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C55A11" w:val="clear"/>
            <w:tcMar>
              <w:top w:type="dxa" w:w="80"/>
              <w:left w:type="dxa" w:w="160"/>
              <w:bottom w:type="dxa" w:w="80"/>
              <w:right w:type="dxa" w:w="160"/>
            </w:tcMar>
          </w:tcPr>
          <w:p>
            <w:r>
              <w:rPr>
                <w:rFonts w:ascii="Arial" w:cs="Arial" w:eastAsia="Arial" w:hAnsi="Arial"/>
                <w:b/>
                <w:bCs/>
                <w:color w:val="FFFFFF"/>
                <w:sz w:val="22"/>
                <w:szCs w:val="22"/>
              </w:rPr>
              <w:t xml:space="preserve">⚠️  EXAM TRAP</w:t>
            </w:r>
          </w:p>
        </w:tc>
      </w:tr>
      <w:tr>
        <w:tc>
          <w:tcPr>
            <w:tcW w:type="dxa" w:w="9360"/>
            <w:tcBorders>
              <w:top w:val="single" w:color="BDD7EE" w:sz="1"/>
              <w:left w:val="single" w:color="BDD7EE" w:sz="1"/>
              <w:bottom w:val="single" w:color="BDD7EE" w:sz="1"/>
              <w:right w:val="single" w:color="BDD7EE" w:sz="1"/>
            </w:tcBorders>
            <w:shd w:fill="FCE4D6"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Business Capability ≠ Business Process ≠ Business Activity. </w:t>
            </w:r>
            <w:r>
              <w:rPr>
                <w:rFonts w:ascii="Arial" w:cs="Arial" w:eastAsia="Arial" w:hAnsi="Arial"/>
                <w:color w:val="1A1A1A"/>
                <w:sz w:val="22"/>
                <w:szCs w:val="22"/>
              </w:rPr>
              <w:t xml:space="preserve">A Business Activity REQUIRES a Business Capability. A Business Process is BUILT FROM Business Activities.</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8 Business Process Groups — Full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20"/>
        <w:gridCol w:w="4680"/>
      </w:tblGrid>
      <w:tr>
        <w:tc>
          <w:tcPr>
            <w:tcW w:type="dxa" w:w="24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Process Group</w:t>
            </w:r>
          </w:p>
        </w:tc>
        <w:tc>
          <w:tcPr>
            <w:tcW w:type="dxa" w:w="192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Domain</w:t>
            </w:r>
          </w:p>
        </w:tc>
        <w:tc>
          <w:tcPr>
            <w:tcW w:type="dxa" w:w="46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Key Scope</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Idea to Market</w:t>
            </w:r>
          </w:p>
        </w:tc>
        <w:tc>
          <w:tcPr>
            <w:tcW w:type="dxa" w:w="19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Products &amp; Services</w:t>
            </w:r>
          </w:p>
        </w:tc>
        <w:tc>
          <w:tcPr>
            <w:tcW w:type="dxa" w:w="4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Product/service lifecycle — portfolio, investments, design, IP, compliance</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Source to Pay</w:t>
            </w:r>
          </w:p>
        </w:tc>
        <w:tc>
          <w:tcPr>
            <w:tcW w:type="dxa" w:w="192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Supply</w:t>
            </w:r>
          </w:p>
        </w:tc>
        <w:tc>
          <w:tcPr>
            <w:tcW w:type="dxa" w:w="4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Sourcing and procurement — planning, spend, supplier contracts, operational procurement</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Plan to Fulfill</w:t>
            </w:r>
          </w:p>
        </w:tc>
        <w:tc>
          <w:tcPr>
            <w:tcW w:type="dxa" w:w="19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Supply</w:t>
            </w:r>
          </w:p>
        </w:tc>
        <w:tc>
          <w:tcPr>
            <w:tcW w:type="dxa" w:w="4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Planning, production, delivery, fulfillment, tracking, sustainable manufacturing</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Lead to Cash</w:t>
            </w:r>
          </w:p>
        </w:tc>
        <w:tc>
          <w:tcPr>
            <w:tcW w:type="dxa" w:w="192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Customer</w:t>
            </w:r>
          </w:p>
        </w:tc>
        <w:tc>
          <w:tcPr>
            <w:tcW w:type="dxa" w:w="4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Marketing, selling, order management, fulfillment, after-sales, invoicing, AR, payment collection</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Recruit to Retire</w:t>
            </w:r>
          </w:p>
        </w:tc>
        <w:tc>
          <w:tcPr>
            <w:tcW w:type="dxa" w:w="19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Corporate</w:t>
            </w:r>
          </w:p>
        </w:tc>
        <w:tc>
          <w:tcPr>
            <w:tcW w:type="dxa" w:w="4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Employee lifecycle — HR strategy, planning, budgeting</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Acquire to Decommission</w:t>
            </w:r>
          </w:p>
        </w:tc>
        <w:tc>
          <w:tcPr>
            <w:tcW w:type="dxa" w:w="192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Corporate</w:t>
            </w:r>
          </w:p>
        </w:tc>
        <w:tc>
          <w:tcPr>
            <w:tcW w:type="dxa" w:w="4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Physical asset lifecycle — strategy, investments, maintenance, acquisition, decommission</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Governance</w:t>
            </w:r>
          </w:p>
        </w:tc>
        <w:tc>
          <w:tcPr>
            <w:tcW w:type="dxa" w:w="19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Corporate</w:t>
            </w:r>
          </w:p>
        </w:tc>
        <w:tc>
          <w:tcPr>
            <w:tcW w:type="dxa" w:w="4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Internal operations — strategy, portfolio, projects, global trade, tax, risk, compliance</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Finance</w:t>
            </w:r>
          </w:p>
        </w:tc>
        <w:tc>
          <w:tcPr>
            <w:tcW w:type="dxa" w:w="192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Corporate</w:t>
            </w:r>
          </w:p>
        </w:tc>
        <w:tc>
          <w:tcPr>
            <w:tcW w:type="dxa" w:w="4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Financial operations — optimising financials, AR/AP, accounting, financial close, treasury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C55A11" w:val="clear"/>
            <w:tcMar>
              <w:top w:type="dxa" w:w="80"/>
              <w:left w:type="dxa" w:w="160"/>
              <w:bottom w:type="dxa" w:w="80"/>
              <w:right w:type="dxa" w:w="160"/>
            </w:tcMar>
          </w:tcPr>
          <w:p>
            <w:r>
              <w:rPr>
                <w:rFonts w:ascii="Arial" w:cs="Arial" w:eastAsia="Arial" w:hAnsi="Arial"/>
                <w:b/>
                <w:bCs/>
                <w:color w:val="FFFFFF"/>
                <w:sz w:val="22"/>
                <w:szCs w:val="22"/>
              </w:rPr>
              <w:t xml:space="preserve">⚠️  EXAM TRAP</w:t>
            </w:r>
          </w:p>
        </w:tc>
      </w:tr>
      <w:tr>
        <w:tc>
          <w:tcPr>
            <w:tcW w:type="dxa" w:w="9360"/>
            <w:tcBorders>
              <w:top w:val="single" w:color="BDD7EE" w:sz="1"/>
              <w:left w:val="single" w:color="BDD7EE" w:sz="1"/>
              <w:bottom w:val="single" w:color="BDD7EE" w:sz="1"/>
              <w:right w:val="single" w:color="BDD7EE" w:sz="1"/>
            </w:tcBorders>
            <w:shd w:fill="FCE4D6"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Lead to Cash vs Finance: </w:t>
            </w:r>
            <w:r>
              <w:rPr>
                <w:rFonts w:ascii="Arial" w:cs="Arial" w:eastAsia="Arial" w:hAnsi="Arial"/>
                <w:color w:val="1A1A1A"/>
                <w:sz w:val="22"/>
                <w:szCs w:val="22"/>
              </w:rPr>
              <w:t xml:space="preserve">Lead to Cash includes AR and payment collection. Finance covers accounting, financial close, treasury. Boundary = where commercial activity ends and financial reporting begins.</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Business Process Variations</w:t>
      </w:r>
    </w:p>
    <w:p>
      <w:pPr>
        <w:pStyle w:val="ListParagraph"/>
        <w:numPr>
          <w:ilvl w:val="0"/>
          <w:numId w:val="2"/>
        </w:numPr>
        <w:spacing w:before="40" w:after="40"/>
      </w:pPr>
      <w:r>
        <w:rPr>
          <w:rFonts w:ascii="Arial" w:cs="Arial" w:eastAsia="Arial" w:hAnsi="Arial"/>
          <w:b/>
          <w:bCs/>
          <w:color w:val="1A1A1A"/>
          <w:sz w:val="22"/>
          <w:szCs w:val="22"/>
        </w:rPr>
        <w:t xml:space="preserve">Generic process </w:t>
      </w:r>
      <w:r>
        <w:rPr>
          <w:rFonts w:ascii="Arial" w:cs="Arial" w:eastAsia="Arial" w:hAnsi="Arial"/>
          <w:color w:val="1A1A1A"/>
          <w:sz w:val="22"/>
          <w:szCs w:val="22"/>
        </w:rPr>
        <w:t xml:space="preserve">= template with ALL possible activities</w:t>
      </w:r>
    </w:p>
    <w:p>
      <w:pPr>
        <w:pStyle w:val="ListParagraph"/>
        <w:numPr>
          <w:ilvl w:val="0"/>
          <w:numId w:val="2"/>
        </w:numPr>
        <w:spacing w:before="40" w:after="40"/>
      </w:pPr>
      <w:r>
        <w:rPr>
          <w:rFonts w:ascii="Arial" w:cs="Arial" w:eastAsia="Arial" w:hAnsi="Arial"/>
          <w:b/>
          <w:bCs/>
          <w:color w:val="1A1A1A"/>
          <w:sz w:val="22"/>
          <w:szCs w:val="22"/>
        </w:rPr>
        <w:t xml:space="preserve">Variation </w:t>
      </w:r>
      <w:r>
        <w:rPr>
          <w:rFonts w:ascii="Arial" w:cs="Arial" w:eastAsia="Arial" w:hAnsi="Arial"/>
          <w:color w:val="1A1A1A"/>
          <w:sz w:val="22"/>
          <w:szCs w:val="22"/>
        </w:rPr>
        <w:t xml:space="preserve">= executable version for specific industry or business model</w:t>
      </w:r>
    </w:p>
    <w:p>
      <w:pPr>
        <w:pStyle w:val="ListParagraph"/>
        <w:numPr>
          <w:ilvl w:val="0"/>
          <w:numId w:val="2"/>
        </w:numPr>
        <w:spacing w:before="40" w:after="40"/>
      </w:pPr>
      <w:r>
        <w:rPr>
          <w:rFonts w:ascii="Arial" w:cs="Arial" w:eastAsia="Arial" w:hAnsi="Arial"/>
          <w:b/>
          <w:bCs/>
          <w:color w:val="1A1A1A"/>
          <w:sz w:val="22"/>
          <w:szCs w:val="22"/>
        </w:rPr>
        <w:t xml:space="preserve">Example: </w:t>
      </w:r>
      <w:r>
        <w:rPr>
          <w:rFonts w:ascii="Arial" w:cs="Arial" w:eastAsia="Arial" w:hAnsi="Arial"/>
          <w:color w:val="1A1A1A"/>
          <w:sz w:val="22"/>
          <w:szCs w:val="22"/>
        </w:rPr>
        <w:t xml:space="preserve">Lead to Cash for B2B  |  Lead to Cash for B2C Omnichannel  |  Lead to Cash for Subscription/Usage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EXAM ALERT</w:t>
            </w:r>
          </w:p>
        </w:tc>
      </w:tr>
      <w:tr>
        <w:tc>
          <w:tcPr>
            <w:tcW w:type="dxa" w:w="9360"/>
            <w:tcBorders>
              <w:top w:val="single" w:color="BDD7EE" w:sz="1"/>
              <w:left w:val="single" w:color="BDD7EE" w:sz="1"/>
              <w:bottom w:val="single" w:color="BDD7EE" w:sz="1"/>
              <w:right w:val="single" w:color="BDD7EE" w:sz="1"/>
            </w:tcBorders>
            <w:shd w:fill="FFF2CC"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Wanderlust is a travel company. </w:t>
            </w:r>
            <w:r>
              <w:rPr>
                <w:rFonts w:ascii="Arial" w:cs="Arial" w:eastAsia="Arial" w:hAnsi="Arial"/>
                <w:color w:val="1A1A1A"/>
                <w:sz w:val="22"/>
                <w:szCs w:val="22"/>
              </w:rPr>
              <w:t xml:space="preserve">Its process variations are travel-specific. When a scenario describes a specific business model, the correct answer references the VARIATION — not the generic template.</w:t>
            </w:r>
          </w:p>
        </w:tc>
      </w:tr>
    </w:tbl>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14 — Complete Artifact Map with All New Artifacts</w:t>
      </w:r>
    </w:p>
    <w:p>
      <w:pPr>
        <w:spacing w:before="60" w:after="100"/>
      </w:pPr>
      <w:r>
        <w:rPr>
          <w:rFonts w:ascii="Arial" w:cs="Arial" w:eastAsia="Arial" w:hAnsi="Arial"/>
          <w:b/>
          <w:bCs/>
          <w:color w:val="1A1A1A"/>
          <w:sz w:val="22"/>
          <w:szCs w:val="22"/>
        </w:rPr>
        <w:t xml:space="preserve">New vs earlier study: </w:t>
      </w:r>
      <w:r>
        <w:rPr>
          <w:rFonts w:ascii="Arial" w:cs="Arial" w:eastAsia="Arial" w:hAnsi="Arial"/>
          <w:color w:val="1A1A1A"/>
          <w:sz w:val="22"/>
          <w:szCs w:val="22"/>
        </w:rPr>
        <w:t xml:space="preserve">Business Process Catalog, Business Role Catalog, Software Distribution Diagram, Conceptional Data Diagram, Requirements Catalog, Architectural Decision Catalog.</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Domain</w:t>
            </w:r>
          </w:p>
        </w:tc>
        <w:tc>
          <w:tcPr>
            <w:tcW w:type="dxa" w:w="28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Artifact</w:t>
            </w:r>
          </w:p>
        </w:tc>
        <w:tc>
          <w:tcPr>
            <w:tcW w:type="dxa" w:w="45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Key Rule</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Architecture Vision</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Stakeholder Map</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Promoters/Enthusiasts/Opponents/Resisters</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Architecture Vision</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Statement of Architecture Work</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Contract. Phase A. Required before Phase B.</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Architecture Vision</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Context Diagram</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Org relationships. 10-min test.</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Architecture Vision</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Concept Diagram</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Technical pencil sketch.</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Strategy &amp; Motivation</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Context Diagram</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NOT a process model. Actors and flows.</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Strategy &amp; Motivation</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Strategy Map</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Strategic Priority → Goals → Value Drivers → Capabilities → Initiatives</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Strategy &amp; Motivation</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Model Canvas &amp; Patterns</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9 blocks. Sustainable BMC is current version.</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Capability Map</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MECE. 3 levels. Business language only.</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Process Catalog</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Structured catalog — not a flow diagram.</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Value Flow Diagram</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No loops, no decision points.</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Organization Map</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Working relationships. NOT org chart.</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Data Catalog</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information objects.</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Role Catalog</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All roles internal and external. Product-agnostic.</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Footprint Diagram</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Cross-domain X-ray.</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Architecture</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Component Diagram</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STRUCTURAL — static view.</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Architecture</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Value Flow Diagram</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Abstract — business activities to solution.</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Architecture</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Process Flow Diagram</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BEHAVIOURAL — BPMN 2.0, dynamic view.</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Architecture</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Data Flow Diagram</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Data objects between components.</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Architecture</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Software Distribution Diagram</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Phase C→D bridge.</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Architecture</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Application Architecture Overview</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Full landscape view.</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Solution Architecture</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Conceptional Data Diagram</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High-level data model.</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Technology Architecture</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Environments &amp; Location Diagram</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ONLY artifact in this domain.</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Roadmap &amp; Transition</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Architecture Roadmap</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3-5 years. ONE entity type only.</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Roadmap &amp; Transition</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Work Breakdown Structure</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Deliverable-oriented. Cost estimation basis.</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Req &amp; Governance</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Requirements Catalog</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Cross-cutting all phases.</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Req &amp; Governance</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Architecture Principles Catalog</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10-20 principles.</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Req &amp; Governance</w:t>
            </w:r>
          </w:p>
        </w:tc>
        <w:tc>
          <w:tcPr>
            <w:tcW w:type="dxa" w:w="2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Risk Catalog</w:t>
            </w:r>
          </w:p>
        </w:tc>
        <w:tc>
          <w:tcPr>
            <w:tcW w:type="dxa" w:w="4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Cross-cutting all phases.</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Req &amp; Governance</w:t>
            </w:r>
          </w:p>
        </w:tc>
        <w:tc>
          <w:tcPr>
            <w:tcW w:type="dxa" w:w="2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Architectural Decision Catalog</w:t>
            </w:r>
          </w:p>
        </w:tc>
        <w:tc>
          <w:tcPr>
            <w:tcW w:type="dxa" w:w="45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ADRs. Cross-cutting all phases.</w:t>
            </w:r>
          </w:p>
        </w:tc>
      </w:tr>
    </w:tbl>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15 — Official Diagrams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Diagram</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Key Points</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1 — Enterprise Domains, BCM, BPM</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Three-tier RBA side by side. Colour coding: Red=P&amp;S, Green=Supply, Blue=Customer, Yellow=Corporate. IT Management greyed out. Process groups colour-match domains.</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2 &amp; 4 — Four Views Matrix</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Architecture (blue) + IT Solution Architecture (yellow). Four views. Connecting lines = navigable links in LeanIX.</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3 — EA Services Honeycomb</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All SAP EA Services by domain. AI &amp; Automation = active today. Practice with LeanIX = standalone Governance service. Transformation Readiness sits in Architecture Vision.</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5 — Complete Artifact Map</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Every artifact by domain. Six new artifacts vs courseware.</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6 — Five Building Blocks Circle</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Circular layout — no building block more important or sequential. All five co-exist.</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7 — Metro Map Full (2024)</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Three tracks: Business Architecture (teal), Cross-cutting (grey), Solution &amp; Technology (yellow/orange). Bottom bar = Requirements &amp; Governance full length. RBA feeds at BCM stage. RSA feeds at Solution Architecture stage and again at Solution Data stage.</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Enterprise Transformation Assessment — Three Activities</w:t>
      </w:r>
    </w:p>
    <w:p>
      <w:pPr>
        <w:pStyle w:val="ListParagraph"/>
        <w:numPr>
          <w:ilvl w:val="0"/>
          <w:numId w:val="2"/>
        </w:numPr>
        <w:spacing w:before="40" w:after="40"/>
      </w:pPr>
      <w:r>
        <w:rPr>
          <w:rFonts w:ascii="Arial" w:cs="Arial" w:eastAsia="Arial" w:hAnsi="Arial"/>
          <w:b/>
          <w:bCs/>
          <w:color w:val="1A1A1A"/>
          <w:sz w:val="22"/>
          <w:szCs w:val="22"/>
        </w:rPr>
        <w:t xml:space="preserve">EA Practice Capability Assessment </w:t>
      </w:r>
      <w:r>
        <w:rPr>
          <w:rFonts w:ascii="Arial" w:cs="Arial" w:eastAsia="Arial" w:hAnsi="Arial"/>
          <w:color w:val="1A1A1A"/>
          <w:sz w:val="22"/>
          <w:szCs w:val="22"/>
        </w:rPr>
        <w:t xml:space="preserve">— spider web diagram, 8 dimensions, 5 levels</w:t>
      </w:r>
    </w:p>
    <w:p>
      <w:pPr>
        <w:pStyle w:val="ListParagraph"/>
        <w:numPr>
          <w:ilvl w:val="0"/>
          <w:numId w:val="2"/>
        </w:numPr>
        <w:spacing w:before="40" w:after="40"/>
      </w:pPr>
      <w:r>
        <w:rPr>
          <w:rFonts w:ascii="Arial" w:cs="Arial" w:eastAsia="Arial" w:hAnsi="Arial"/>
          <w:b/>
          <w:bCs/>
          <w:color w:val="1A1A1A"/>
          <w:sz w:val="22"/>
          <w:szCs w:val="22"/>
        </w:rPr>
        <w:t xml:space="preserve">Preliminary Business and Technology Capability Assessment </w:t>
      </w:r>
      <w:r>
        <w:rPr>
          <w:rFonts w:ascii="Arial" w:cs="Arial" w:eastAsia="Arial" w:hAnsi="Arial"/>
          <w:color w:val="1A1A1A"/>
          <w:sz w:val="22"/>
          <w:szCs w:val="22"/>
        </w:rPr>
        <w:t xml:space="preserve">— heat map</w:t>
      </w:r>
    </w:p>
    <w:p>
      <w:pPr>
        <w:pStyle w:val="ListParagraph"/>
        <w:numPr>
          <w:ilvl w:val="0"/>
          <w:numId w:val="2"/>
        </w:numPr>
        <w:spacing w:before="40" w:after="40"/>
      </w:pPr>
      <w:r>
        <w:rPr>
          <w:rFonts w:ascii="Arial" w:cs="Arial" w:eastAsia="Arial" w:hAnsi="Arial"/>
          <w:b/>
          <w:bCs/>
          <w:color w:val="1A1A1A"/>
          <w:sz w:val="22"/>
          <w:szCs w:val="22"/>
        </w:rPr>
        <w:t xml:space="preserve">Business and Technology Transformation Readiness Assessment</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EXAM ALERT</w:t>
            </w:r>
          </w:p>
        </w:tc>
      </w:tr>
      <w:tr>
        <w:tc>
          <w:tcPr>
            <w:tcW w:type="dxa" w:w="9360"/>
            <w:tcBorders>
              <w:top w:val="single" w:color="BDD7EE" w:sz="1"/>
              <w:left w:val="single" w:color="BDD7EE" w:sz="1"/>
              <w:bottom w:val="single" w:color="BDD7EE" w:sz="1"/>
              <w:right w:val="single" w:color="BDD7EE" w:sz="1"/>
            </w:tcBorders>
            <w:shd w:fill="FFF2CC"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One stop on Metro Map = THREE distinct activities. </w:t>
            </w:r>
            <w:r>
              <w:rPr>
                <w:rFonts w:ascii="Arial" w:cs="Arial" w:eastAsia="Arial" w:hAnsi="Arial"/>
                <w:color w:val="1A1A1A"/>
                <w:sz w:val="22"/>
                <w:szCs w:val="22"/>
              </w:rPr>
              <w:t xml:space="preserve">Spider web diagram output = EA Practice Capability Assessment.</w:t>
            </w:r>
          </w:p>
        </w:tc>
      </w:tr>
    </w:tbl>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16 — Real-World Use Cases</w:t>
      </w:r>
    </w:p>
    <w:p>
      <w:pPr>
        <w:spacing w:before="60" w:after="100"/>
      </w:pPr>
      <w:r>
        <w:rPr>
          <w:rFonts w:ascii="Arial" w:cs="Arial" w:eastAsia="Arial" w:hAnsi="Arial"/>
          <w:i/>
          <w:iCs/>
          <w:color w:val="1A1A1A"/>
          <w:sz w:val="22"/>
          <w:szCs w:val="22"/>
        </w:rPr>
        <w:t xml:space="preserve">"Follow the framework and your life will be more predictable and structured. The framework brings method to the madness."</w:t>
      </w:r>
      <w:r>
        <w:rPr>
          <w:rFonts w:ascii="Arial" w:cs="Arial" w:eastAsia="Arial" w:hAnsi="Arial"/>
          <w:color w:val="1A1A1A"/>
          <w:sz w:val="22"/>
          <w:szCs w:val="22"/>
        </w:rPr>
        <w:t xml:space="preserve"> — Anup Das, SAP Transformation Hub</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The Three C-Suite Perspectives EA Must 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Executive</w:t>
            </w:r>
          </w:p>
        </w:tc>
        <w:tc>
          <w:tcPr>
            <w:tcW w:type="dxa" w:w="36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Focus</w:t>
            </w:r>
          </w:p>
        </w:tc>
        <w:tc>
          <w:tcPr>
            <w:tcW w:type="dxa" w:w="36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EA Northstar</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CEO</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Evolving the business, adopting innovation</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transformation, M&amp;A, capability gap closure</w:t>
            </w:r>
          </w:p>
        </w:tc>
      </w:tr>
      <w:tr>
        <w:tc>
          <w:tcPr>
            <w:tcW w:type="dxa" w:w="20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CFO</w:t>
            </w:r>
          </w:p>
        </w:tc>
        <w:tc>
          <w:tcPr>
            <w:tcW w:type="dxa" w:w="3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Reducing complexity, optimising cost</w:t>
            </w:r>
          </w:p>
        </w:tc>
        <w:tc>
          <w:tcPr>
            <w:tcW w:type="dxa" w:w="36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Landscape rationalisation, TCO reduction, public cloud</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CIO</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Managing complexity, enabling future state</w:t>
            </w:r>
          </w:p>
        </w:tc>
        <w:tc>
          <w:tcPr>
            <w:tcW w:type="dxa" w:w="36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Simplification, clean architecture, landscape consolidation</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Use Case 1 — TCO Reduction</w:t>
      </w:r>
    </w:p>
    <w:p>
      <w:pPr>
        <w:spacing w:before="60" w:after="100"/>
      </w:pPr>
      <w:r>
        <w:rPr>
          <w:rFonts w:ascii="Arial" w:cs="Arial" w:eastAsia="Arial" w:hAnsi="Arial"/>
          <w:color w:val="1A1A1A"/>
          <w:sz w:val="22"/>
          <w:szCs w:val="22"/>
        </w:rPr>
        <w:t xml:space="preserve">Three parallel tracks in every transformation business case:</w:t>
      </w:r>
    </w:p>
    <w:p>
      <w:pPr>
        <w:pStyle w:val="ListParagraph"/>
        <w:numPr>
          <w:ilvl w:val="0"/>
          <w:numId w:val="2"/>
        </w:numPr>
        <w:spacing w:before="40" w:after="40"/>
      </w:pPr>
      <w:r>
        <w:rPr>
          <w:rFonts w:ascii="Arial" w:cs="Arial" w:eastAsia="Arial" w:hAnsi="Arial"/>
          <w:b/>
          <w:bCs/>
          <w:color w:val="1A1A1A"/>
          <w:sz w:val="22"/>
          <w:szCs w:val="22"/>
        </w:rPr>
        <w:t xml:space="preserve">Value track </w:t>
      </w:r>
      <w:r>
        <w:rPr>
          <w:rFonts w:ascii="Arial" w:cs="Arial" w:eastAsia="Arial" w:hAnsi="Arial"/>
          <w:color w:val="1A1A1A"/>
          <w:sz w:val="22"/>
          <w:szCs w:val="22"/>
        </w:rPr>
        <w:t xml:space="preserve">— Value advisory team. Dollar value, ROI.</w:t>
      </w:r>
    </w:p>
    <w:p>
      <w:pPr>
        <w:pStyle w:val="ListParagraph"/>
        <w:numPr>
          <w:ilvl w:val="0"/>
          <w:numId w:val="2"/>
        </w:numPr>
        <w:spacing w:before="40" w:after="40"/>
      </w:pPr>
      <w:r>
        <w:rPr>
          <w:rFonts w:ascii="Arial" w:cs="Arial" w:eastAsia="Arial" w:hAnsi="Arial"/>
          <w:b/>
          <w:bCs/>
          <w:color w:val="1A1A1A"/>
          <w:sz w:val="22"/>
          <w:szCs w:val="22"/>
        </w:rPr>
        <w:t xml:space="preserve">Architecture track </w:t>
      </w:r>
      <w:r>
        <w:rPr>
          <w:rFonts w:ascii="Arial" w:cs="Arial" w:eastAsia="Arial" w:hAnsi="Arial"/>
          <w:color w:val="1A1A1A"/>
          <w:sz w:val="22"/>
          <w:szCs w:val="22"/>
        </w:rPr>
        <w:t xml:space="preserve">— EA's primary role. Architectural decisions, target direction, scope.</w:t>
      </w:r>
    </w:p>
    <w:p>
      <w:pPr>
        <w:pStyle w:val="ListParagraph"/>
        <w:numPr>
          <w:ilvl w:val="0"/>
          <w:numId w:val="2"/>
        </w:numPr>
        <w:spacing w:before="40" w:after="40"/>
      </w:pPr>
      <w:r>
        <w:rPr>
          <w:rFonts w:ascii="Arial" w:cs="Arial" w:eastAsia="Arial" w:hAnsi="Arial"/>
          <w:b/>
          <w:bCs/>
          <w:color w:val="1A1A1A"/>
          <w:sz w:val="22"/>
          <w:szCs w:val="22"/>
        </w:rPr>
        <w:t xml:space="preserve">Cost track </w:t>
      </w:r>
      <w:r>
        <w:rPr>
          <w:rFonts w:ascii="Arial" w:cs="Arial" w:eastAsia="Arial" w:hAnsi="Arial"/>
          <w:color w:val="1A1A1A"/>
          <w:sz w:val="22"/>
          <w:szCs w:val="22"/>
        </w:rPr>
        <w:t xml:space="preserve">— Cost to implement the architecture.</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TCO Iceberg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Visible</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Hidden Below the Waterline</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Software and license cost (OpEx vs CapEx)</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Implementation and consulting cost</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Hardware and infrastructure cost (hyperscalers)</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Change management cost</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Support and maintenance cost (profile changes with cloud)</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End of life and decommissioning cost</w:t>
            </w:r>
          </w:p>
        </w:tc>
      </w:tr>
    </w:tbl>
    <w:p>
      <w:pPr>
        <w:spacing w:before="60" w:after="60"/>
      </w:pPr>
      <w:r>
        <w:t xml:space="preserve"/>
      </w:r>
    </w:p>
    <w:p>
      <w:pPr>
        <w:spacing w:before="60" w:after="100"/>
      </w:pPr>
      <w:r>
        <w:rPr>
          <w:rFonts w:ascii="Arial" w:cs="Arial" w:eastAsia="Arial" w:hAnsi="Arial"/>
          <w:b/>
          <w:bCs/>
          <w:color w:val="1A1A1A"/>
          <w:sz w:val="22"/>
          <w:szCs w:val="22"/>
        </w:rPr>
        <w:t xml:space="preserve">Prerequisites for AI readiness (in order): </w:t>
      </w:r>
      <w:r>
        <w:rPr>
          <w:rFonts w:ascii="Arial" w:cs="Arial" w:eastAsia="Arial" w:hAnsi="Arial"/>
          <w:color w:val="1A1A1A"/>
          <w:sz w:val="22"/>
          <w:szCs w:val="22"/>
        </w:rPr>
        <w:t xml:space="preserve">Process standardisation → Process harmonisation → Process automation → Data harmonisation and quality. Without these three, AI is premature.</w:t>
      </w:r>
    </w:p>
    <w:p>
      <w:pPr>
        <w:spacing w:before="60" w:after="60"/>
      </w:pPr>
      <w:r>
        <w:t xml:space="preserve"/>
      </w:r>
    </w:p>
    <w:p>
      <w:pPr>
        <w:pStyle w:val="Heading2"/>
        <w:spacing w:before="280" w:after="80"/>
      </w:pPr>
      <w:r>
        <w:rPr>
          <w:rFonts w:ascii="Arial" w:cs="Arial" w:eastAsia="Arial" w:hAnsi="Arial"/>
          <w:b/>
          <w:bCs/>
          <w:color w:val="2E75B6"/>
          <w:sz w:val="28"/>
          <w:szCs w:val="28"/>
        </w:rPr>
        <w:t xml:space="preserve">Application Rationalisation — TIME and 6R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Framework</w:t>
            </w:r>
          </w:p>
        </w:tc>
        <w:tc>
          <w:tcPr>
            <w:tcW w:type="dxa" w:w="34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When to Use</w:t>
            </w:r>
          </w:p>
        </w:tc>
        <w:tc>
          <w:tcPr>
            <w:tcW w:type="dxa" w:w="34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Options</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TIME</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Application portfolio decisions</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Tolerate (high tech/low functional), Invest (high/high), Migrate (low tech/high functional), Eliminate (low/low)</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6R</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Cloud transformation priority</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Rehost, Retire, Replatform, Repurchase, Refactor/Re-architect, Retain</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Use Case 2 — M&amp;A (Divestiture and Acquisition)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EXAM ALERT</w:t>
            </w:r>
          </w:p>
        </w:tc>
      </w:tr>
      <w:tr>
        <w:tc>
          <w:tcPr>
            <w:tcW w:type="dxa" w:w="9360"/>
            <w:tcBorders>
              <w:top w:val="single" w:color="BDD7EE" w:sz="1"/>
              <w:left w:val="single" w:color="BDD7EE" w:sz="1"/>
              <w:bottom w:val="single" w:color="BDD7EE" w:sz="1"/>
              <w:right w:val="single" w:color="BDD7EE" w:sz="1"/>
            </w:tcBorders>
            <w:shd w:fill="FFF2CC"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90% of enterprise architects get involved post-merger — not pre-deal. </w:t>
            </w:r>
            <w:r>
              <w:rPr>
                <w:rFonts w:ascii="Arial" w:cs="Arial" w:eastAsia="Arial" w:hAnsi="Arial"/>
                <w:color w:val="1A1A1A"/>
                <w:sz w:val="22"/>
                <w:szCs w:val="22"/>
              </w:rPr>
              <w:t xml:space="preserve">By the time EA is engaged, the deal is done. The challenge is making it work architecturally.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Scenario</w:t>
            </w:r>
          </w:p>
        </w:tc>
        <w:tc>
          <w:tcPr>
            <w:tcW w:type="dxa" w:w="34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Challenge</w:t>
            </w:r>
          </w:p>
        </w:tc>
        <w:tc>
          <w:tcPr>
            <w:tcW w:type="dxa" w:w="34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Key Artifacts</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Divestiture / Carve-Out</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Carve out BU from shared ECC. Selective data transition to S/4HANA.</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Strategy Mapping, Capability Assessment, Application Architecture, Transition Scenario Evaluation</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Acquisition / Consolidation</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Two separate landscapes. Identify harmonisation potential. Consolidate.</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Process/Capability heat map, Application Architecture, Integration requirements, Roadmap</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Use Case 3 — Cloud Transformation (PumpTech)</w:t>
      </w:r>
    </w:p>
    <w:p>
      <w:pPr>
        <w:spacing w:before="60" w:after="100"/>
      </w:pPr>
      <w:r>
        <w:rPr>
          <w:rFonts w:ascii="Arial" w:cs="Arial" w:eastAsia="Arial" w:hAnsi="Arial"/>
          <w:b/>
          <w:bCs/>
          <w:color w:val="1A1A1A"/>
          <w:sz w:val="22"/>
          <w:szCs w:val="22"/>
        </w:rPr>
        <w:t xml:space="preserve">The two-track problem: </w:t>
      </w:r>
      <w:r>
        <w:rPr>
          <w:rFonts w:ascii="Arial" w:cs="Arial" w:eastAsia="Arial" w:hAnsi="Arial"/>
          <w:color w:val="1A1A1A"/>
          <w:sz w:val="22"/>
          <w:szCs w:val="22"/>
        </w:rPr>
        <w:t xml:space="preserve">Traditional business model (cash cow) must run simultaneously with new subscription model. Cannot wait for legacy transformation.</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Track / Business Model</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Architecture Choice / Rationale</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Track 1 — Traditional (established)</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S/4HANA Cloud Private Edition — Brownfield. Preserve business, existing data/config, low risk, clean core later.</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Track 2 — New subscription model</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S/4HANA Cloud Public Edition — Greenfield. Maximum agility, fast implementation, standard processes.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Factor</w:t>
            </w:r>
          </w:p>
        </w:tc>
        <w:tc>
          <w:tcPr>
            <w:tcW w:type="dxa" w:w="34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Brownfield</w:t>
            </w:r>
          </w:p>
        </w:tc>
        <w:tc>
          <w:tcPr>
            <w:tcW w:type="dxa" w:w="34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Greenfield</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Business model</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Established cash cow</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New, needs agility</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Existing data</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Must be preserved</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Starting fresh</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Customisations</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Many — assess for clean core</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None — start standard</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Implementation speed</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Longer</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Shorter</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Risk tolerance</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Low</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Higher acceptable</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O-Data + X-Data Readiness Assessment</w:t>
      </w:r>
    </w:p>
    <w:p>
      <w:pPr>
        <w:pStyle w:val="ListParagraph"/>
        <w:numPr>
          <w:ilvl w:val="0"/>
          <w:numId w:val="2"/>
        </w:numPr>
        <w:spacing w:before="40" w:after="40"/>
      </w:pPr>
      <w:r>
        <w:rPr>
          <w:rFonts w:ascii="Arial" w:cs="Arial" w:eastAsia="Arial" w:hAnsi="Arial"/>
          <w:b/>
          <w:bCs/>
          <w:color w:val="1A1A1A"/>
          <w:sz w:val="22"/>
          <w:szCs w:val="22"/>
        </w:rPr>
        <w:t xml:space="preserve">O-data </w:t>
      </w:r>
      <w:r>
        <w:rPr>
          <w:rFonts w:ascii="Arial" w:cs="Arial" w:eastAsia="Arial" w:hAnsi="Arial"/>
          <w:color w:val="1A1A1A"/>
          <w:sz w:val="22"/>
          <w:szCs w:val="22"/>
        </w:rPr>
        <w:t xml:space="preserve">— Hard facts from systems: custom code reports, process KPIs, system performance</w:t>
      </w:r>
    </w:p>
    <w:p>
      <w:pPr>
        <w:pStyle w:val="ListParagraph"/>
        <w:numPr>
          <w:ilvl w:val="0"/>
          <w:numId w:val="2"/>
        </w:numPr>
        <w:spacing w:before="40" w:after="40"/>
      </w:pPr>
      <w:r>
        <w:rPr>
          <w:rFonts w:ascii="Arial" w:cs="Arial" w:eastAsia="Arial" w:hAnsi="Arial"/>
          <w:b/>
          <w:bCs/>
          <w:color w:val="1A1A1A"/>
          <w:sz w:val="22"/>
          <w:szCs w:val="22"/>
        </w:rPr>
        <w:t xml:space="preserve">X-data </w:t>
      </w:r>
      <w:r>
        <w:rPr>
          <w:rFonts w:ascii="Arial" w:cs="Arial" w:eastAsia="Arial" w:hAnsi="Arial"/>
          <w:color w:val="1A1A1A"/>
          <w:sz w:val="22"/>
          <w:szCs w:val="22"/>
        </w:rPr>
        <w:t xml:space="preserve">— Human sentiments: stakeholder surveys, process disruption feedback</w:t>
      </w:r>
    </w:p>
    <w:p>
      <w:pPr>
        <w:pStyle w:val="ListParagraph"/>
        <w:numPr>
          <w:ilvl w:val="0"/>
          <w:numId w:val="2"/>
        </w:numPr>
        <w:spacing w:before="40" w:after="40"/>
      </w:pPr>
      <w:r>
        <w:rPr>
          <w:rFonts w:ascii="Arial" w:cs="Arial" w:eastAsia="Arial" w:hAnsi="Arial"/>
          <w:b/>
          <w:bCs/>
          <w:color w:val="1A1A1A"/>
          <w:sz w:val="22"/>
          <w:szCs w:val="22"/>
        </w:rPr>
        <w:t xml:space="preserve">Combined insight example: </w:t>
      </w:r>
      <w:r>
        <w:rPr>
          <w:rFonts w:ascii="Arial" w:cs="Arial" w:eastAsia="Arial" w:hAnsi="Arial"/>
          <w:color w:val="1A1A1A"/>
          <w:sz w:val="22"/>
          <w:szCs w:val="22"/>
        </w:rPr>
        <w:t xml:space="preserve">O-data: high custom code. X-data: users report process disruptions. Insight: Clean Core strategy is mandatory.</w:t>
      </w:r>
    </w:p>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17 — EA Trends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4800"/>
      </w:tblGrid>
      <w:tr>
        <w:tc>
          <w:tcPr>
            <w:tcW w:type="dxa" w:w="24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Trend</w:t>
            </w:r>
          </w:p>
        </w:tc>
        <w:tc>
          <w:tcPr>
            <w:tcW w:type="dxa" w:w="21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Likelihood</w:t>
            </w:r>
          </w:p>
        </w:tc>
        <w:tc>
          <w:tcPr>
            <w:tcW w:type="dxa" w:w="48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Career/Exam Relevance</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AI for EA and EA for AI</w:t>
            </w:r>
          </w:p>
        </w:tc>
        <w:tc>
          <w:tcPr>
            <w:tcW w:type="dxa" w:w="21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Very High — already happening</w:t>
            </w:r>
          </w:p>
        </w:tc>
        <w:tc>
          <w:tcPr>
            <w:tcW w:type="dxa" w:w="4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High — Brisbane role mentions AI integration. Know AI capability mapping.</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Continuous Clean Architecture</w:t>
            </w:r>
          </w:p>
        </w:tc>
        <w:tc>
          <w:tcPr>
            <w:tcW w:type="dxa" w:w="21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High — evolving from Clean Core</w:t>
            </w:r>
          </w:p>
        </w:tc>
        <w:tc>
          <w:tcPr>
            <w:tcW w:type="dxa" w:w="4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High — Brisbane role: 'reduce sprawl over time'. This is the governance model.</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EA as Digital Twin / Auto-Discovery</w:t>
            </w:r>
          </w:p>
        </w:tc>
        <w:tc>
          <w:tcPr>
            <w:tcW w:type="dxa" w:w="21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Medium-High — directionally clear</w:t>
            </w:r>
          </w:p>
        </w:tc>
        <w:tc>
          <w:tcPr>
            <w:tcW w:type="dxa" w:w="4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Medium — LeanIX moving this way. Know the concept.</w:t>
            </w:r>
          </w:p>
        </w:tc>
      </w:tr>
      <w:tr>
        <w:tc>
          <w:tcPr>
            <w:tcW w:type="dxa" w:w="24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Agile and Iterative Architecture</w:t>
            </w:r>
          </w:p>
        </w:tc>
        <w:tc>
          <w:tcPr>
            <w:tcW w:type="dxa" w:w="21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High — already happening</w:t>
            </w:r>
          </w:p>
        </w:tc>
        <w:tc>
          <w:tcPr>
            <w:tcW w:type="dxa" w:w="4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Medium — Metro Map is already non-waterfall. Culture change, not framework change.</w:t>
            </w:r>
          </w:p>
        </w:tc>
      </w:tr>
      <w:tr>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Quantum Computing</w:t>
            </w:r>
          </w:p>
        </w:tc>
        <w:tc>
          <w:tcPr>
            <w:tcW w:type="dxa" w:w="21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Low-Medium within 3-4 years</w:t>
            </w:r>
          </w:p>
        </w:tc>
        <w:tc>
          <w:tcPr>
            <w:tcW w:type="dxa" w:w="4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Low for exam — forward-looking awareness only.</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Continuous Clean Architecture — The Governance Model</w:t>
      </w:r>
    </w:p>
    <w:p>
      <w:pPr>
        <w:pStyle w:val="ListParagraph"/>
        <w:numPr>
          <w:ilvl w:val="0"/>
          <w:numId w:val="2"/>
        </w:numPr>
        <w:spacing w:before="40" w:after="40"/>
      </w:pPr>
      <w:r>
        <w:rPr>
          <w:rFonts w:ascii="Arial" w:cs="Arial" w:eastAsia="Arial" w:hAnsi="Arial"/>
          <w:color w:val="1A1A1A"/>
          <w:sz w:val="22"/>
          <w:szCs w:val="22"/>
        </w:rPr>
        <w:t xml:space="preserve">Define architectural KPIs</w:t>
      </w:r>
    </w:p>
    <w:p>
      <w:pPr>
        <w:pStyle w:val="ListParagraph"/>
        <w:numPr>
          <w:ilvl w:val="0"/>
          <w:numId w:val="2"/>
        </w:numPr>
        <w:spacing w:before="40" w:after="40"/>
      </w:pPr>
      <w:r>
        <w:rPr>
          <w:rFonts w:ascii="Arial" w:cs="Arial" w:eastAsia="Arial" w:hAnsi="Arial"/>
          <w:color w:val="1A1A1A"/>
          <w:sz w:val="22"/>
          <w:szCs w:val="22"/>
        </w:rPr>
        <w:t xml:space="preserve">Assess current state against KPIs</w:t>
      </w:r>
    </w:p>
    <w:p>
      <w:pPr>
        <w:pStyle w:val="ListParagraph"/>
        <w:numPr>
          <w:ilvl w:val="0"/>
          <w:numId w:val="2"/>
        </w:numPr>
        <w:spacing w:before="40" w:after="40"/>
      </w:pPr>
      <w:r>
        <w:rPr>
          <w:rFonts w:ascii="Arial" w:cs="Arial" w:eastAsia="Arial" w:hAnsi="Arial"/>
          <w:color w:val="1A1A1A"/>
          <w:sz w:val="22"/>
          <w:szCs w:val="22"/>
        </w:rPr>
        <w:t xml:space="preserve">Plan target architecture and roadmap</w:t>
      </w:r>
    </w:p>
    <w:p>
      <w:pPr>
        <w:pStyle w:val="ListParagraph"/>
        <w:numPr>
          <w:ilvl w:val="0"/>
          <w:numId w:val="2"/>
        </w:numPr>
        <w:spacing w:before="40" w:after="40"/>
      </w:pPr>
      <w:r>
        <w:rPr>
          <w:rFonts w:ascii="Arial" w:cs="Arial" w:eastAsia="Arial" w:hAnsi="Arial"/>
          <w:color w:val="1A1A1A"/>
          <w:sz w:val="22"/>
          <w:szCs w:val="22"/>
        </w:rPr>
        <w:t xml:space="preserve">Implement</w:t>
      </w:r>
    </w:p>
    <w:p>
      <w:pPr>
        <w:pStyle w:val="ListParagraph"/>
        <w:numPr>
          <w:ilvl w:val="0"/>
          <w:numId w:val="2"/>
        </w:numPr>
        <w:spacing w:before="40" w:after="40"/>
      </w:pPr>
      <w:r>
        <w:rPr>
          <w:rFonts w:ascii="Arial" w:cs="Arial" w:eastAsia="Arial" w:hAnsi="Arial"/>
          <w:color w:val="1A1A1A"/>
          <w:sz w:val="22"/>
          <w:szCs w:val="22"/>
        </w:rPr>
        <w:t xml:space="preserve">Measure continuously → adjust → repeat</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375623" w:val="clear"/>
            <w:tcMar>
              <w:top w:type="dxa" w:w="80"/>
              <w:left w:type="dxa" w:w="160"/>
              <w:bottom w:type="dxa" w:w="80"/>
              <w:right w:type="dxa" w:w="160"/>
            </w:tcMar>
          </w:tcPr>
          <w:p>
            <w:r>
              <w:rPr>
                <w:rFonts w:ascii="Arial" w:cs="Arial" w:eastAsia="Arial" w:hAnsi="Arial"/>
                <w:b/>
                <w:bCs/>
                <w:color w:val="FFFFFF"/>
                <w:sz w:val="22"/>
                <w:szCs w:val="22"/>
              </w:rPr>
              <w:t xml:space="preserve">💡  KEY INSIGHT</w:t>
            </w:r>
          </w:p>
        </w:tc>
      </w:tr>
      <w:tr>
        <w:tc>
          <w:tcPr>
            <w:tcW w:type="dxa" w:w="9360"/>
            <w:tcBorders>
              <w:top w:val="single" w:color="BDD7EE" w:sz="1"/>
              <w:left w:val="single" w:color="BDD7EE" w:sz="1"/>
              <w:bottom w:val="single" w:color="BDD7EE" w:sz="1"/>
              <w:right w:val="single" w:color="BDD7EE" w:sz="1"/>
            </w:tcBorders>
            <w:shd w:fill="E2EFDA"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This is the answer to 'how do you reduce application sprawl over time.' </w:t>
            </w:r>
            <w:r>
              <w:rPr>
                <w:rFonts w:ascii="Arial" w:cs="Arial" w:eastAsia="Arial" w:hAnsi="Arial"/>
                <w:color w:val="1A1A1A"/>
                <w:sz w:val="22"/>
                <w:szCs w:val="22"/>
              </w:rPr>
              <w:t xml:space="preserve">Not a project. A continuous practice with measurable KPIs.</w:t>
            </w:r>
          </w:p>
        </w:tc>
      </w:tr>
    </w:tbl>
    <w:p>
      <w:pPr>
        <w:spacing w:before="60" w:after="60"/>
      </w:pPr>
      <w:r>
        <w:t xml:space="preserve"/>
      </w:r>
    </w:p>
    <w:p>
      <w:pPr>
        <w:pStyle w:val="Heading2"/>
        <w:spacing w:before="280" w:after="80"/>
      </w:pPr>
      <w:r>
        <w:rPr>
          <w:rFonts w:ascii="Arial" w:cs="Arial" w:eastAsia="Arial" w:hAnsi="Arial"/>
          <w:b/>
          <w:bCs/>
          <w:color w:val="2E75B6"/>
          <w:sz w:val="28"/>
          <w:szCs w:val="28"/>
        </w:rPr>
        <w:t xml:space="preserve">AI for EA — What Exists Today in LeanIX</w:t>
      </w:r>
    </w:p>
    <w:p>
      <w:pPr>
        <w:pStyle w:val="ListParagraph"/>
        <w:numPr>
          <w:ilvl w:val="0"/>
          <w:numId w:val="2"/>
        </w:numPr>
        <w:spacing w:before="40" w:after="40"/>
      </w:pPr>
      <w:r>
        <w:rPr>
          <w:rFonts w:ascii="Arial" w:cs="Arial" w:eastAsia="Arial" w:hAnsi="Arial"/>
          <w:color w:val="1A1A1A"/>
          <w:sz w:val="22"/>
          <w:szCs w:val="22"/>
        </w:rPr>
        <w:t xml:space="preserve">Insights into landscape dependencies</w:t>
      </w:r>
    </w:p>
    <w:p>
      <w:pPr>
        <w:pStyle w:val="ListParagraph"/>
        <w:numPr>
          <w:ilvl w:val="0"/>
          <w:numId w:val="2"/>
        </w:numPr>
        <w:spacing w:before="40" w:after="40"/>
      </w:pPr>
      <w:r>
        <w:rPr>
          <w:rFonts w:ascii="Arial" w:cs="Arial" w:eastAsia="Arial" w:hAnsi="Arial"/>
          <w:color w:val="1A1A1A"/>
          <w:sz w:val="22"/>
          <w:szCs w:val="22"/>
        </w:rPr>
        <w:t xml:space="preserve">Pattern recognition for optimisation opportunities</w:t>
      </w:r>
    </w:p>
    <w:p>
      <w:pPr>
        <w:pStyle w:val="ListParagraph"/>
        <w:numPr>
          <w:ilvl w:val="0"/>
          <w:numId w:val="2"/>
        </w:numPr>
        <w:spacing w:before="40" w:after="40"/>
      </w:pPr>
      <w:r>
        <w:rPr>
          <w:rFonts w:ascii="Arial" w:cs="Arial" w:eastAsia="Arial" w:hAnsi="Arial"/>
          <w:color w:val="1A1A1A"/>
          <w:sz w:val="22"/>
          <w:szCs w:val="22"/>
        </w:rPr>
        <w:t xml:space="preserve">Decision support for cost, risk, and tradeoff analysis</w:t>
      </w:r>
    </w:p>
    <w:p>
      <w:pPr>
        <w:pStyle w:val="ListParagraph"/>
        <w:numPr>
          <w:ilvl w:val="0"/>
          <w:numId w:val="2"/>
        </w:numPr>
        <w:spacing w:before="40" w:after="40"/>
      </w:pPr>
      <w:r>
        <w:rPr>
          <w:rFonts w:ascii="Arial" w:cs="Arial" w:eastAsia="Arial" w:hAnsi="Arial"/>
          <w:color w:val="1A1A1A"/>
          <w:sz w:val="22"/>
          <w:szCs w:val="22"/>
        </w:rPr>
        <w:t xml:space="preserve">Business capability mapping acceleration</w:t>
      </w:r>
    </w:p>
    <w:p>
      <w:pPr>
        <w:pStyle w:val="ListParagraph"/>
        <w:numPr>
          <w:ilvl w:val="0"/>
          <w:numId w:val="2"/>
        </w:numPr>
        <w:spacing w:before="40" w:after="40"/>
      </w:pPr>
      <w:r>
        <w:rPr>
          <w:rFonts w:ascii="Arial" w:cs="Arial" w:eastAsia="Arial" w:hAnsi="Arial"/>
          <w:color w:val="1A1A1A"/>
          <w:sz w:val="22"/>
          <w:szCs w:val="22"/>
        </w:rPr>
        <w:t xml:space="preserve">Strategy mapping acceleration</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6B2D8B" w:val="clear"/>
            <w:tcMar>
              <w:top w:type="dxa" w:w="80"/>
              <w:left w:type="dxa" w:w="160"/>
              <w:bottom w:type="dxa" w:w="80"/>
              <w:right w:type="dxa" w:w="160"/>
            </w:tcMar>
          </w:tcPr>
          <w:p>
            <w:r>
              <w:rPr>
                <w:rFonts w:ascii="Arial" w:cs="Arial" w:eastAsia="Arial" w:hAnsi="Arial"/>
                <w:b/>
                <w:bCs/>
                <w:color w:val="FFFFFF"/>
                <w:sz w:val="22"/>
                <w:szCs w:val="22"/>
              </w:rPr>
              <w:t xml:space="preserve">📖  AUTHOR QUOTE</w:t>
            </w:r>
          </w:p>
        </w:tc>
      </w:tr>
      <w:tr>
        <w:tc>
          <w:tcPr>
            <w:tcW w:type="dxa" w:w="9360"/>
            <w:tcBorders>
              <w:top w:val="single" w:color="BDD7EE" w:sz="1"/>
              <w:left w:val="single" w:color="BDD7EE" w:sz="1"/>
              <w:bottom w:val="single" w:color="BDD7EE" w:sz="1"/>
              <w:right w:val="single" w:color="BDD7EE" w:sz="1"/>
            </w:tcBorders>
            <w:shd w:fill="F3E8FF" w:val="clear"/>
            <w:tcMar>
              <w:top w:type="dxa" w:w="80"/>
              <w:left w:type="dxa" w:w="160"/>
              <w:bottom w:type="dxa" w:w="80"/>
              <w:right w:type="dxa" w:w="160"/>
            </w:tcMar>
          </w:tcPr>
          <w:p>
            <w:pPr>
              <w:spacing w:before="40" w:after="40"/>
            </w:pPr>
            <w:r>
              <w:rPr>
                <w:rFonts w:ascii="Arial" w:cs="Arial" w:eastAsia="Arial" w:hAnsi="Arial"/>
                <w:i/>
                <w:iCs/>
                <w:color w:val="1A1A1A"/>
                <w:sz w:val="22"/>
                <w:szCs w:val="22"/>
              </w:rPr>
              <w:t xml:space="preserve">"Not just a jewel assistant you can ask questions — but an agentic workbench where AI interacts with enterprise architects, proposes assessment frameworks, reaches out to stakeholders and gets input."</w:t>
            </w:r>
            <w:r>
              <w:rPr>
                <w:rFonts w:ascii="Arial" w:cs="Arial" w:eastAsia="Arial" w:hAnsi="Arial"/>
                <w:color w:val="1A1A1A"/>
                <w:sz w:val="22"/>
                <w:szCs w:val="22"/>
              </w:rPr>
              <w:t xml:space="preserve"> — Peter Klee</w:t>
            </w:r>
          </w:p>
        </w:tc>
      </w:tr>
    </w:tbl>
    <w:p>
      <w:pPr>
        <w:spacing w:before="60" w:after="60"/>
      </w:pPr>
      <w:r>
        <w:t xml:space="preserve"/>
      </w:r>
    </w:p>
    <w:p>
      <w:r>
        <w:br w:type="page"/>
      </w:r>
    </w:p>
    <w:p>
      <w:pPr>
        <w:pStyle w:val="Heading1"/>
        <w:pBdr>
          <w:bottom w:val="single" w:color="2E75B6" w:sz="6" w:space="4"/>
        </w:pBdr>
        <w:spacing w:before="360" w:after="120"/>
      </w:pPr>
      <w:r>
        <w:rPr>
          <w:rFonts w:ascii="Arial" w:cs="Arial" w:eastAsia="Arial" w:hAnsi="Arial"/>
          <w:b/>
          <w:bCs/>
          <w:color w:val="1F4E79"/>
          <w:sz w:val="36"/>
          <w:szCs w:val="36"/>
        </w:rPr>
        <w:t xml:space="preserve">Part 18 — From Certification to Senior EA Role</w:t>
      </w:r>
    </w:p>
    <w:p>
      <w:pPr>
        <w:spacing w:before="60" w:after="100"/>
      </w:pPr>
      <w:r>
        <w:rPr>
          <w:rFonts w:ascii="Arial" w:cs="Arial" w:eastAsia="Arial" w:hAnsi="Arial"/>
          <w:color w:val="1A1A1A"/>
          <w:sz w:val="22"/>
          <w:szCs w:val="22"/>
        </w:rPr>
        <w:t xml:space="preserve">Based on analysis of a senior Brisbane EA role (2026). North star — not next application.</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80"/>
        <w:gridCol w:w="4080"/>
      </w:tblGrid>
      <w:tr>
        <w:tc>
          <w:tcPr>
            <w:tcW w:type="dxa" w:w="18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Gap</w:t>
            </w:r>
          </w:p>
        </w:tc>
        <w:tc>
          <w:tcPr>
            <w:tcW w:type="dxa" w:w="34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What to Learn</w:t>
            </w:r>
          </w:p>
        </w:tc>
        <w:tc>
          <w:tcPr>
            <w:tcW w:type="dxa" w:w="408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SAP EAF Connection</w:t>
            </w:r>
          </w:p>
        </w:tc>
      </w:tr>
      <w:tr>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1 — Governance at Scale</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Architecture Review Boards, Design Authorities, CABs, ADRs in practice, federated vs centralised models</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Requirements &amp; Governance domain. Four EA Organisational Models. Eight Maturity Dimensions.</w:t>
            </w:r>
          </w:p>
        </w:tc>
      </w:tr>
      <w:tr>
        <w:tc>
          <w:tcPr>
            <w:tcW w:type="dxa" w:w="1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2 — Portfolio &amp; Demand Visibility</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LeanIX application portfolio, TIME model in practice, roadmaps to PMO pipelines, capability heat mapping</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Domain 2 (Architecture Vision &amp; Roadmap). LeanIX toolchain. Continuous Clean Architecture.</w:t>
            </w:r>
          </w:p>
        </w:tc>
      </w:tr>
      <w:tr>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3 — SAP in Broader Context</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S/4HANA transformation strategies, SAP BTP and Clean Core, ISA-M, Azure + SAP architecture patterns</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Domain 4 (Data, Application &amp; Technology). ISA-M. Clean Core three extension types.</w:t>
            </w:r>
          </w:p>
        </w:tc>
      </w:tr>
      <w:tr>
        <w:tc>
          <w:tcPr>
            <w:tcW w:type="dxa" w:w="18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4 — Industry Context</w:t>
            </w:r>
          </w:p>
        </w:tc>
        <w:tc>
          <w:tcPr>
            <w:tcW w:type="dxa" w:w="34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SAP Plan to Fulfill and Source to Pay, asset management, OT/IT convergence in manufacturing</w:t>
            </w:r>
          </w:p>
        </w:tc>
        <w:tc>
          <w:tcPr>
            <w:tcW w:type="dxa" w:w="408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RBA — Supply domain. 8 Business Process Groups. Acquire to Decommission.</w:t>
            </w:r>
          </w:p>
        </w:tc>
      </w:tr>
      <w:tr>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5 — Influence Without Authority</w:t>
            </w:r>
          </w:p>
        </w:tc>
        <w:tc>
          <w:tcPr>
            <w:tcW w:type="dxa" w:w="34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Stakeholder mapping in practice, Architecture Point of View documents, credibility through reasoning</w:t>
            </w:r>
          </w:p>
        </w:tc>
        <w:tc>
          <w:tcPr>
            <w:tcW w:type="dxa" w:w="408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Stakeholder Map artifact. EA Services — Architecture Point of View.</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Timeframe</w:t>
            </w:r>
          </w:p>
        </w:tc>
        <w:tc>
          <w:tcPr>
            <w:tcW w:type="dxa" w:w="5760"/>
            <w:tcBorders>
              <w:top w:val="single" w:color="BDD7EE" w:sz="1"/>
              <w:left w:val="single" w:color="BDD7EE" w:sz="1"/>
              <w:bottom w:val="single" w:color="BDD7EE" w:sz="1"/>
              <w:right w:val="single" w:color="BDD7EE" w:sz="1"/>
            </w:tcBorders>
            <w:shd w:fill="D5E8F0" w:val="clear"/>
            <w:tcMar>
              <w:top w:type="dxa" w:w="80"/>
              <w:left w:type="dxa" w:w="120"/>
              <w:bottom w:type="dxa" w:w="80"/>
              <w:right w:type="dxa" w:w="120"/>
            </w:tcMar>
          </w:tcPr>
          <w:p>
            <w:r>
              <w:rPr>
                <w:rFonts w:ascii="Arial" w:cs="Arial" w:eastAsia="Arial" w:hAnsi="Arial"/>
                <w:b/>
                <w:bCs/>
                <w:color w:val="1F4E79"/>
                <w:sz w:val="20"/>
                <w:szCs w:val="20"/>
              </w:rPr>
              <w:t xml:space="preserve">Focus</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Now — 6 months</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P_SAPEA_2023 certification. LeanIX certification (C_LIXEA_2404). S/4HANA transformation strategies. ISA-M.</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6-12 months</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Hands-on LeanIX and Signavio. ITIL 4 governance literacy. Real ARB terms of reference. Wanderlust deep dive.</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12-24 months</w:t>
            </w:r>
          </w:p>
        </w:tc>
        <w:tc>
          <w:tcPr>
            <w:tcW w:type="dxa" w:w="57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Role inside an EA function. Apply framework on real engagement. Build GitHub repo into genuine public portfolio.</w:t>
            </w:r>
          </w:p>
        </w:tc>
      </w:tr>
      <w:tr>
        <w:tc>
          <w:tcPr>
            <w:tcW w:type="dxa" w:w="360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Then</w:t>
            </w:r>
          </w:p>
        </w:tc>
        <w:tc>
          <w:tcPr>
            <w:tcW w:type="dxa" w:w="5760"/>
            <w:tcBorders>
              <w:top w:val="single" w:color="BDD7EE" w:sz="1"/>
              <w:left w:val="single" w:color="BDD7EE" w:sz="1"/>
              <w:bottom w:val="single" w:color="BDD7EE" w:sz="1"/>
              <w:right w:val="single" w:color="BDD7EE" w:sz="1"/>
            </w:tcBorders>
            <w:shd w:fill="F5FAFF" w:val="clear"/>
            <w:tcMar>
              <w:top w:type="dxa" w:w="80"/>
              <w:left w:type="dxa" w:w="120"/>
              <w:bottom w:type="dxa" w:w="80"/>
              <w:right w:type="dxa" w:w="120"/>
            </w:tcMar>
          </w:tcPr>
          <w:p>
            <w:pPr>
              <w:spacing w:before="40" w:after="40"/>
            </w:pPr>
            <w:r>
              <w:rPr>
                <w:rFonts w:ascii="Arial" w:cs="Arial" w:eastAsia="Arial" w:hAnsi="Arial"/>
                <w:color w:val="1A1A1A"/>
                <w:sz w:val="20"/>
                <w:szCs w:val="20"/>
              </w:rPr>
              <w:t xml:space="preserve">Certification + LeanIX + governance exposure + public portfolio = credible conversation for senior EA roles.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single" w:color="BDD7EE" w:sz="1"/>
              <w:bottom w:val="single" w:color="BDD7EE" w:sz="1"/>
              <w:right w:val="single" w:color="BDD7EE" w:sz="1"/>
            </w:tcBorders>
            <w:shd w:fill="375623" w:val="clear"/>
            <w:tcMar>
              <w:top w:type="dxa" w:w="80"/>
              <w:left w:type="dxa" w:w="160"/>
              <w:bottom w:type="dxa" w:w="80"/>
              <w:right w:type="dxa" w:w="160"/>
            </w:tcMar>
          </w:tcPr>
          <w:p>
            <w:r>
              <w:rPr>
                <w:rFonts w:ascii="Arial" w:cs="Arial" w:eastAsia="Arial" w:hAnsi="Arial"/>
                <w:b/>
                <w:bCs/>
                <w:color w:val="FFFFFF"/>
                <w:sz w:val="22"/>
                <w:szCs w:val="22"/>
              </w:rPr>
              <w:t xml:space="preserve">💡  KEY INSIGHT</w:t>
            </w:r>
          </w:p>
        </w:tc>
      </w:tr>
      <w:tr>
        <w:tc>
          <w:tcPr>
            <w:tcW w:type="dxa" w:w="9360"/>
            <w:tcBorders>
              <w:top w:val="single" w:color="BDD7EE" w:sz="1"/>
              <w:left w:val="single" w:color="BDD7EE" w:sz="1"/>
              <w:bottom w:val="single" w:color="BDD7EE" w:sz="1"/>
              <w:right w:val="single" w:color="BDD7EE" w:sz="1"/>
            </w:tcBorders>
            <w:shd w:fill="E2EFDA" w:val="clear"/>
            <w:tcMar>
              <w:top w:type="dxa" w:w="80"/>
              <w:left w:type="dxa" w:w="160"/>
              <w:bottom w:type="dxa" w:w="80"/>
              <w:right w:type="dxa" w:w="160"/>
            </w:tcMar>
          </w:tcPr>
          <w:p>
            <w:pPr>
              <w:spacing w:before="40" w:after="40"/>
            </w:pPr>
            <w:r>
              <w:rPr>
                <w:rFonts w:ascii="Arial" w:cs="Arial" w:eastAsia="Arial" w:hAnsi="Arial"/>
                <w:b/>
                <w:bCs/>
                <w:color w:val="1A1A1A"/>
                <w:sz w:val="22"/>
                <w:szCs w:val="22"/>
              </w:rPr>
              <w:t xml:space="preserve">The one sentence: </w:t>
            </w:r>
            <w:r>
              <w:rPr>
                <w:rFonts w:ascii="Arial" w:cs="Arial" w:eastAsia="Arial" w:hAnsi="Arial"/>
                <w:color w:val="1A1A1A"/>
                <w:sz w:val="22"/>
                <w:szCs w:val="22"/>
              </w:rPr>
              <w:t xml:space="preserve">Certification gets you in the door. Portfolio of thinking gets them interested. Real governance and delivery experience closes the gap.</w:t>
            </w:r>
          </w:p>
        </w:tc>
      </w:tr>
    </w:tbl>
    <w:p>
      <w:pPr>
        <w:spacing w:before="60" w:after="60"/>
      </w:pPr>
      <w:r>
        <w:t xml:space="preserve"/>
      </w:r>
    </w:p>
    <w:p>
      <w:pPr>
        <w:pBdr>
          <w:top w:val="single" w:color="2E75B6" w:sz="6" w:space="4"/>
        </w:pBdr>
        <w:spacing w:before="400" w:after="100"/>
        <w:jc w:val="center"/>
      </w:pPr>
      <w:r>
        <w:rPr>
          <w:rFonts w:ascii="Arial" w:cs="Arial" w:eastAsia="Arial" w:hAnsi="Arial"/>
          <w:i/>
          <w:iCs/>
          <w:color w:val="888888"/>
          <w:sz w:val="18"/>
          <w:szCs w:val="18"/>
        </w:rPr>
        <w:t xml:space="preserve">SAP EA Certification Study Bible  |  18 Parts Complete  |  ZenCloud.au  |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4E79"/>
      <w:sz w:val="36"/>
      <w:szCs w:val="36"/>
    </w:rPr>
  </w:style>
  <w:style w:type="paragraph" w:styleId="Heading2">
    <w:name w:val="Heading 2"/>
    <w:basedOn w:val="Normal"/>
    <w:next w:val="Normal"/>
    <w:qFormat/>
    <w:pPr>
      <w:spacing w:before="280" w:after="8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6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2026-03-15T06:31:53.643Z</dcterms:created>
  <dcterms:modified xsi:type="dcterms:W3CDTF">2026-03-15T06:31:53.643Z</dcterms:modified>
</cp:coreProperties>
</file>

<file path=docProps/custom.xml><?xml version="1.0" encoding="utf-8"?>
<Properties xmlns="http://schemas.openxmlformats.org/officeDocument/2006/custom-properties" xmlns:vt="http://schemas.openxmlformats.org/officeDocument/2006/docPropsVTypes"/>
</file>