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武穴市社会救助联合体服务项目技术方案投标大纲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/>
              <w:spacing w:before="120" w:after="120" w:line="360" w:lineRule="auto"/>
              <w:ind w:left="0" w:right="0" w:firstLine="640"/>
              <w:jc w:val="left"/>
              <w:outlineLvl w:val="9"/>
            </w:pPr>
            <w:r>
              <w:rPr>
                <w:rFonts w:ascii="黑体" w:hAnsi="黑体" w:eastAsia="黑体" w:cs="黑体"/>
                <w:b/>
                <w:color w:val="000000"/>
                <w:sz w:val="32"/>
              </w:rPr>
              <w:t>1. 项目理解</w:t>
            </w:r>
          </w:p>
        </w:tc>
      </w:tr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1.1 项目背景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1.1.1 武穴市社会救助联合体运行背景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1.1.2 政府购买社会救助服务的承接职责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1.1.3 武穴市社会救助联合体服务衔接要求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1.2 采购目标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5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1.2.1 市级社会救助联合体规范运营目标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6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1.2.2 困难群众救助服务质效提升目标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7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1.2.3 救助服务全过程记录与追溯目标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1.3 服务对象需求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9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1.3.1 困难群众政策知晓与便捷求助需求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0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1.3.2 困难群众救助申请帮办代办需求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1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1.3.3 困难群众探访慰问与关爱需求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2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1.3.4 困难群众心理支持需求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3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1.3.5 困难群众合法权益维护需求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4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1.3.6 多重困难家庭综合帮扶需求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5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1.4 市级总站与12个镇（街道）分站关系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6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1.4.1 市级总站综合运营职责与人员派驻要求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7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1.4.2 总站与12个镇（街道）分站的活动协同关系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8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1.4.3 总站与镇（街道）分站的服务信息衔接关系</w:t>
              </w:r>
            </w:hyperlink>
          </w:p>
        </w:tc>
      </w:tr>
    </w:tbl>
    <w:p>
      <w:pPr>
        <w:pStyle w:val="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1. 项目理解</w:t>
      </w:r>
    </w:p>
    <w:p>
      <w:r>
        <w:t>正文内容，用于检查索引之后的正文分页。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w:abstractNumId="7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7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550870</Words>
  <Characters>611542</Characters>
  <Application>Microsoft Office Word</Application>
  <DocSecurity>0</DocSecurity>
  <Lines>15492</Lines>
  <Paragraphs>15492</Paragraphs>
  <ScaleCrop>false</ScaleCrop>
  <Company/>
  <LinksUpToDate>false</LinksUpToDate>
  <CharactersWithSpaces>627968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武穴市社会救助联合体服务项目技术方案投标大纲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2026-09-17T04:12:51Z</dcterms:created>
  <dcterms:modified xsi:type="dcterms:W3CDTF">2026-09-17T04:12:51Z</dcterms:modified>
  <cp:category/>
</cp:coreProperties>
</file>