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1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5"/>
        <w:gridCol w:w="5112"/>
        <w:tblGridChange w:id="0">
          <w:tblGrid>
            <w:gridCol w:w="4045"/>
            <w:gridCol w:w="51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До Міністерства оборони України</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03168, м.Київ, проспект Повітряних сил, 6, м.Київ</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mail: </w:t>
            </w:r>
            <w:hyperlink r:id="rId7">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kabmin_doc@mil.gov.ua</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Тел.: (044)230-73-30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До Генерального штабу Збройних Сил України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проспект Повітряних сил, 6, м. Київ, 03168</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mil_doc@post.mil.gov.ua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Від:</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_________________________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Конт.номер: ___________________</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mail:_________________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Поштова адреса: _________________________</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Щодо ненадання належних матеріалів службового розслідування</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Я, _______________________ є дружиною військовослужбовця військової частини ___________ _____________, який зник безвісти _______________ під час виконання бойового завдання.</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Відносно факту зникнення безвісти вказаного військовослужбовця військовою частиною _______________ було проведено службове розслідування, оформлене актом від_______________</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Мною було направлено звернення до військової частини _______________ через _____________________ РТЦК та СП про надання матеріалів службового розслідування (копії акту).</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Натомість, до цього часу я отримала лише витяг з акту розслідування.</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Ненадання повної копії акту службового розслідування військова частина ____________ обгрунтовує з посиланням на наявність відповідного грифу секретності вказаного документу.</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 цьому, мені відомо про те, що слідчому ______________ поліції Донецької області військовою частиною _____________ було направлено повний текст акту службового розслідування без примітки в самому акті та в супровідному листі про те, що вказаний документ містить інформацію з обмеженим доступом і така інформація не може бути передана іншим особам, в тому числі, потерпілій стороні в кримінальному провадженні №__________________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Вищезазначене є свідченням про вибірковий підхід військової частини __________ до надання матеріалів службового розслідування родинам зниклих безвісти та слідчому підрозділу поліції, що дає підстави стверджувати про неналежне та неповне інформування родини зниклого безвісти військовослужбовця щодо обставин зникнення безвісти такого військового.</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 цьому, ознайомитись з матеріалами службового розслідування, які наявні в матеріалах кримінального провадження, я не маю можливості в силу знаходження ______ поліції Донецької області в близькості до зони проведення бойових дій, що виключає безпечну та належну реалізацію права на ознайомлення з матеріалами кримінального провадження.</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6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Частиною 1 статті 6 Закону України “Про правовий статус осіб, зниклих безвісти за особливих обставин” (далі - Закон) визначено, що близькі родиічі та члени сім’ї особи, зниклої безвісти за особиливих оставин,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мають право на отримання достовірних відомостей про місце перебування особи, зниклої безвісти за особливих обставин.</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Згідно з частинами 2-3 вказаної статті Закону р</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еалізація права, передбаченого </w:t>
      </w:r>
      <w:hyperlink r:id="rId8">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частиною першою</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цієї статті, відбувається шляхом подання заяви про розшук особи, зниклої безвісти за особливих обставин, та</w:t>
      </w:r>
      <w:r w:rsidDel="00000000" w:rsidR="00000000" w:rsidRPr="00000000">
        <w:rPr>
          <w:rFonts w:ascii="Times New Roman" w:cs="Times New Roman" w:eastAsia="Times New Roman" w:hAnsi="Times New Roman"/>
          <w:b w:val="0"/>
          <w:i w:val="0"/>
          <w:smallCaps w:val="0"/>
          <w:strike w:val="0"/>
          <w:color w:val="000000"/>
          <w:sz w:val="26"/>
          <w:szCs w:val="26"/>
          <w:highlight w:val="white"/>
          <w:u w:val="single"/>
          <w:vertAlign w:val="baseline"/>
          <w:rtl w:val="0"/>
        </w:rPr>
        <w:t xml:space="preserve"> отримання достовірної інформації про хід та результати проведення її розшуку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в порядку, визначеному цим Законом та іншими законами України. Органи державної влади, уповноважені на здійснення обліку та/або розшуку осіб, зниклих безвісти за особливих обставин, </w:t>
      </w:r>
      <w:r w:rsidDel="00000000" w:rsidR="00000000" w:rsidRPr="00000000">
        <w:rPr>
          <w:rFonts w:ascii="Times New Roman" w:cs="Times New Roman" w:eastAsia="Times New Roman" w:hAnsi="Times New Roman"/>
          <w:b w:val="0"/>
          <w:i w:val="0"/>
          <w:smallCaps w:val="0"/>
          <w:strike w:val="0"/>
          <w:color w:val="000000"/>
          <w:sz w:val="26"/>
          <w:szCs w:val="26"/>
          <w:highlight w:val="white"/>
          <w:u w:val="single"/>
          <w:vertAlign w:val="baseline"/>
          <w:rtl w:val="0"/>
        </w:rPr>
        <w:t xml:space="preserve">зобов’язані надавати інформацію про хід та результати їх розшуку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в порядку, встановленому цим Законом, близьким родичам та членам сім’ї таких осіб.</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Відповідно до пункту 15 розділу VI Інструкції</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районний територіальний центр комплектування та соціальної підтримки на підставі одержаного сповіщення командира військової частини зобов’язаний протягом семи днів після його отримання вручити сім’ї (близьким родичам) зниклого безвісти військовослужбовця сповіщення сім’ї, а також висловити їм співчуття, проінформувати щодо установлених законодавством пільг, роз’яснити порядок подання документів для призначення пенсії (допомоги) та інших виплат членам сім’ї військовослужбовця.</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single"/>
          <w:vertAlign w:val="baseline"/>
          <w:rtl w:val="0"/>
        </w:rPr>
        <w:t xml:space="preserve">Зміст норм Закону та положень Інструкцій свідчить про те, що родина зниклого безвісти військовослужбовця наділена правом вимагати та отримувати інформацію та документи щодо обставин зникнення та місця перебування зниклої особи. Відносно зниклого безвісти військовослужбовця інформація вказаного змісту міститься в акті службового розслідування, проведеного частиною по факту зникнення військовослужбовця.</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Відповідно до пункту 1 розділу VІ Інструкції у разі зникнення безвісти військовослужбовця командир військової частини зобов’язаний організувати не пізніше наступного після зникнення безвісти військовослужбовця дня повідомлення засобами зв’язку та письмово керівника районного територіального центру комплектування та соціальної підтримки за місцем проживання сім’ї (близьких родичів) військовослужбовця, обставини зникнення безвісти.</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Надсилати сповіщення командира військової частини безпосередньо сім’ї (близьким родичам) військовослужбовця категорично забороняється (абз.2 п.6 розд.VІ Інструкції).</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single"/>
          <w:vertAlign w:val="baseline"/>
          <w:rtl w:val="0"/>
        </w:rPr>
        <w:t xml:space="preserve">Зміст Інструкції свідчить про той факт, що вся комунікація та передача інформації з підтверджуючими документами, в тому числі, щодо обставин зникнення військовослужбовців для родини такого військовослужбовця здійснюється військовою частиною через відповідне РТЦК та СП, а не напряму.</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 обгрунтованість та правомірність звернення до військової частини через РТЦК та СП щодо надання матеріалів службового розслідування щодо обставин зникнення безвісти військовослужбовця військової частини ___________ ____________ свідчить алгоритм дій для родин зниклих безвісти, визначений Міністерством з питань реінтеграції тимчасово окупованих територій України, за посиланням -  </w:t>
      </w:r>
      <w:hyperlink r:id="rId9">
        <w:r w:rsidDel="00000000" w:rsidR="00000000" w:rsidRPr="00000000">
          <w:rPr>
            <w:rFonts w:ascii="SimSun" w:cs="SimSun" w:eastAsia="SimSun" w:hAnsi="SimSun"/>
            <w:b w:val="0"/>
            <w:i w:val="0"/>
            <w:smallCaps w:val="0"/>
            <w:strike w:val="0"/>
            <w:color w:val="000000"/>
            <w:sz w:val="24"/>
            <w:szCs w:val="24"/>
            <w:u w:val="single"/>
            <w:shd w:fill="auto" w:val="clear"/>
            <w:vertAlign w:val="baseline"/>
            <w:rtl w:val="0"/>
          </w:rPr>
          <w:t xml:space="preserve">Презентація PowerPoint (minre.gov.ua)</w:t>
        </w:r>
      </w:hyperlink>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0" w:line="240" w:lineRule="auto"/>
        <w:ind w:left="0" w:right="0" w:firstLine="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Відповідно до підпунктів 81 - 83 пункту 4 Положення про Міністерство оборони України, затвердженого постановою КМУ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від 26 листопада 2014 р. № 671, Міноборони відповідно до покладених на нього завдань:</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0" w:line="240" w:lineRule="auto"/>
        <w:ind w:left="0" w:right="0" w:firstLine="2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здійснює заходи, спрямовані на реалізацію соціально-економічних і правових гарантій військовослужбовцям, членам їх сімей;</w:t>
      </w:r>
      <w:bookmarkStart w:colFirst="0" w:colLast="0" w:name="bookmark=id.gjdgxs" w:id="0"/>
      <w:bookmarkEnd w:id="0"/>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0" w:line="240" w:lineRule="auto"/>
        <w:ind w:left="0" w:right="0" w:firstLine="13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здійснює відповідно до законодавства правовий і соціальний захист військовослужбовців, резервістів Збройних Сил, військовозобов’язаних, призваних на збори, членів їх сімей.</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0" w:line="240" w:lineRule="auto"/>
        <w:ind w:left="0" w:right="0" w:firstLine="39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З урахуванням вищевикладеного та у відповідності до вимог Закону, норм Інструкції та Положення, </w:t>
      </w:r>
      <w:r w:rsidDel="00000000" w:rsidR="00000000" w:rsidRPr="00000000">
        <w:rPr>
          <w:rFonts w:ascii="Times New Roman" w:cs="Times New Roman" w:eastAsia="Times New Roman" w:hAnsi="Times New Roman"/>
          <w:b w:val="0"/>
          <w:i w:val="0"/>
          <w:smallCaps w:val="0"/>
          <w:strike w:val="0"/>
          <w:color w:val="000000"/>
          <w:sz w:val="26"/>
          <w:szCs w:val="26"/>
          <w:highlight w:val="white"/>
          <w:u w:val="single"/>
          <w:vertAlign w:val="baseline"/>
          <w:rtl w:val="0"/>
        </w:rPr>
        <w:t xml:space="preserve">прошу в межах компетенції Міністерства оборони України та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Генерального штабу Збройних Сил України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здійснити заходи, спрямовані на дотримання та виконання військовою частиною _____________ вимог Закону щодо інформування мене - дружини зниклого безвісти військовослужбовця про повні і належні результати проведення службового розслідування щодо обставин зникнення безвісти _______________ з наданням копії  акту службового розслідування.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 результати рогзгляду вказаного звернення повідомити заявника - ______________________</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9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Додатки:</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Копія паспорту ______________</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Копія сповіщення про зникнення безвісти _________________</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Копія свідоцтва про шлюб.</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Копія  звернення до військової частини ______________ про надання копії акту службового розслідуванння.</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Копія витягу з акту службового розслідування.</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3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Копія листа ______________ поліції Донецької області.</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“____” лютого 2025</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_________________ </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____________________</w:t>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0" w:line="240" w:lineRule="auto"/>
        <w:ind w:left="0" w:right="0" w:firstLine="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0" w:line="240" w:lineRule="auto"/>
        <w:ind w:left="0" w:right="0" w:firstLine="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2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sectPr>
      <w:pgSz w:h="16838" w:w="11906" w:orient="portrait"/>
      <w:pgMar w:bottom="1440" w:top="1440" w:left="1400" w:right="90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bidi="ar-SA" w:eastAsia="zh-CN"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CellMar>
        <w:top w:w="0.0" w:type="dxa"/>
        <w:left w:w="108.0" w:type="dxa"/>
        <w:bottom w:w="0.0" w:type="dxa"/>
        <w:right w:w="108.0" w:type="dxa"/>
      </w:tblCellMar>
    </w:tblPr>
  </w:style>
  <w:style w:type="character" w:styleId="Гиперссылка">
    <w:name w:val="Гиперссылка"/>
    <w:basedOn w:val="Основнойшрифтабзаца"/>
    <w:next w:val="Гиперссылка"/>
    <w:autoRedefine w:val="0"/>
    <w:hidden w:val="0"/>
    <w:qFormat w:val="0"/>
    <w:rPr>
      <w:rStyle w:val="Основнойшрифтабзаца"/>
      <w:color w:val="0000ff"/>
      <w:w w:val="100"/>
      <w:position w:val="-1"/>
      <w:u w:val="single"/>
      <w:effect w:val="none"/>
      <w:vertAlign w:val="baseline"/>
      <w:cs w:val="0"/>
      <w:em w:val="none"/>
      <w:lang/>
    </w:rPr>
  </w:style>
  <w:style w:type="character" w:styleId="Строгий">
    <w:name w:val="Строгий"/>
    <w:basedOn w:val="Основнойшрифтабзаца"/>
    <w:next w:val="Строгий"/>
    <w:autoRedefine w:val="0"/>
    <w:hidden w:val="0"/>
    <w:qFormat w:val="0"/>
    <w:rPr>
      <w:rStyle w:val="Основнойшрифтабзаца"/>
      <w:b w:val="1"/>
      <w:bCs w:val="1"/>
      <w:w w:val="100"/>
      <w:position w:val="-1"/>
      <w:effect w:val="none"/>
      <w:vertAlign w:val="baseline"/>
      <w:cs w:val="0"/>
      <w:em w:val="none"/>
      <w:lang/>
    </w:rPr>
  </w:style>
  <w:style w:type="paragraph" w:styleId="Обычный(веб)">
    <w:name w:val="Обычный (веб)"/>
    <w:basedOn w:val="Обычный"/>
    <w:next w:val="Обычный(веб)"/>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sz w:val="24"/>
      <w:szCs w:val="24"/>
      <w:effect w:val="none"/>
      <w:vertAlign w:val="baseline"/>
      <w:cs w:val="0"/>
      <w:em w:val="none"/>
      <w:lang w:bidi="ar-SA" w:eastAsia="zh-CN" w:val="en-US"/>
    </w:rPr>
  </w:style>
  <w:style w:type="table" w:styleId="Сеткатаблицы">
    <w:name w:val="Сетка таблицы"/>
    <w:basedOn w:val="Обычнаятаблица"/>
    <w:next w:val="Сеткатаблицы"/>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re.gov.ua/wp-content/uploads/2023/04/algorytm_dij_dlya_rodyn_znyklyh_bezvisty_0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bmin_doc@mil.gov.ua" TargetMode="External"/><Relationship Id="rId8" Type="http://schemas.openxmlformats.org/officeDocument/2006/relationships/hyperlink" Target="https://zakon.rada.gov.ua/laws/show/2505-19#n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tK5ioNlOABTR+863LAEFPzkQQ==">CgMxLjAyCWlkLmdqZGd4czgAciExRGZTa2I2RHo4OUN2MExkTkNfTE5IckpMaG1RdGpLQlg=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2024-04-14T13:57:00Z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E5FAA9D85F7343C595C4BE60D89DE273_13</vt:lpwstr>
  </property>
</Properties>
</file>