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Вище професійне училище №21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м. Івано-Франківська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2060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2060"/>
          <w:sz w:val="44"/>
          <w:szCs w:val="44"/>
          <w:rtl w:val="0"/>
        </w:rPr>
        <w:t xml:space="preserve">МЕТОДИЧНІ РЕКОМЕНДАЦІЇ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для виконання економічної частини дипломного проєкту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f5496"/>
          <w:sz w:val="32"/>
          <w:szCs w:val="32"/>
          <w:rtl w:val="0"/>
        </w:rPr>
        <w:t xml:space="preserve">Спеціальність 122 Комп’ютерні науки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освітньо-професійна програма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5496"/>
          <w:sz w:val="32"/>
          <w:szCs w:val="32"/>
          <w:rtl w:val="0"/>
        </w:rPr>
        <w:t xml:space="preserve"> «Обслуговування програмних систем і комплексів»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229"/>
        <w:tblW w:w="9639.0" w:type="dxa"/>
        <w:jc w:val="left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8154</wp:posOffset>
                  </wp:positionV>
                  <wp:extent cx="4716379" cy="3809383"/>
                  <wp:effectExtent b="0" l="0" r="0" t="0"/>
                  <wp:wrapSquare wrapText="bothSides" distB="0" distT="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379" cy="38093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4394.0" w:type="dxa"/>
              <w:jc w:val="left"/>
              <w:tblLayout w:type="fixed"/>
              <w:tblLook w:val="0000"/>
            </w:tblPr>
            <w:tblGrid>
              <w:gridCol w:w="4394"/>
              <w:tblGridChange w:id="0">
                <w:tblGrid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spacing w:line="360" w:lineRule="auto"/>
                    <w:rPr>
                      <w:rFonts w:ascii="Times New Roman" w:cs="Times New Roman" w:eastAsia="Times New Roman" w:hAnsi="Times New Roman"/>
                      <w:i w:val="1"/>
                      <w:color w:val="2e75b5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rPr>
                      <w:rFonts w:ascii="Times New Roman" w:cs="Times New Roman" w:eastAsia="Times New Roman" w:hAnsi="Times New Roman"/>
                      <w:i w:val="1"/>
                      <w:color w:val="2e75b5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2023 рік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Вище професійне училище №21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м. Івано-Франківська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44"/>
          <w:szCs w:val="4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44"/>
          <w:szCs w:val="44"/>
          <w:rtl w:val="0"/>
        </w:rPr>
        <w:t xml:space="preserve">МЕТОДИЧНІ РЕКОМЕНДАЦІЇ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для виконання економічної частини дипломного проєкту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Спеціальність 122 Комп’ютерні науки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освітньо-професійна програма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 «Обслуговування програмних систем і комплексів»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229"/>
        <w:tblW w:w="9639.0" w:type="dxa"/>
        <w:jc w:val="left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94.0" w:type="dxa"/>
              <w:jc w:val="left"/>
              <w:tblLayout w:type="fixed"/>
              <w:tblLook w:val="0000"/>
            </w:tblPr>
            <w:tblGrid>
              <w:gridCol w:w="4394"/>
              <w:tblGridChange w:id="0">
                <w:tblGrid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spacing w:line="360" w:lineRule="auto"/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pgSz w:h="16838" w:w="11906" w:orient="portrait"/>
          <w:pgMar w:bottom="850" w:top="850" w:left="1417" w:right="850" w:header="708" w:footer="708"/>
          <w:pgNumType w:start="3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2023 рік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Методичні вказівки для виконання економічної частини дипломного проєкту  для учнів, які навчаються за спеціальністю122 Комп’ютерні науки та освітньо-професійною програмою «Обслуговування програмних систем і комплексів»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0" w:line="360" w:lineRule="auto"/>
        <w:ind w:left="-15" w:right="0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Упорядник: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Бойчук Ніна Петрівна - викладач  економічних дисциплін ІІ категорії.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5"/>
        </w:tabs>
        <w:spacing w:after="0" w:before="0" w:line="360" w:lineRule="auto"/>
        <w:ind w:left="374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5"/>
        </w:tabs>
        <w:spacing w:after="0" w:before="0" w:line="360" w:lineRule="auto"/>
        <w:ind w:left="374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5"/>
        </w:tabs>
        <w:spacing w:after="0" w:before="0" w:line="360" w:lineRule="auto"/>
        <w:ind w:left="374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5"/>
        </w:tabs>
        <w:spacing w:after="0" w:before="0" w:line="360" w:lineRule="auto"/>
        <w:ind w:left="374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0" w:line="360" w:lineRule="auto"/>
        <w:ind w:left="-15" w:right="0" w:firstLine="4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0" w:line="360" w:lineRule="auto"/>
        <w:ind w:left="-15" w:right="0" w:firstLine="4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0" w:line="360" w:lineRule="auto"/>
        <w:ind w:left="-15" w:right="0" w:firstLine="4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0" w:line="360" w:lineRule="auto"/>
        <w:ind w:left="-15" w:right="0" w:firstLine="4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Розглянуто та схвалено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0" w:line="360" w:lineRule="auto"/>
        <w:ind w:left="-15" w:right="0" w:firstLine="4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цикловою комісією комп'ютерного та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0" w:line="360" w:lineRule="auto"/>
        <w:ind w:left="-15" w:right="0" w:firstLine="4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економічного напрямів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0" w:line="360" w:lineRule="auto"/>
        <w:ind w:left="-15" w:right="0" w:firstLine="4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№8  від 22.02.2023р. 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e75b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ЗАГАЛЬНІ ПОЛОЖЕННЯ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ЕКОНОМІЧНА ЧАСТИНА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Опис програмного продукту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Визначення собівартості розробки ПП.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Склад виконавців роботи та розрахунок  загального фонду заробітної плати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Нарахування ЄСВ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Розрахунок витрат на матеріали.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Розрахунок витрат на використану обладнанням електроенергію.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 Розрахунок витрат на амортизацію устаткування.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2.6. Розрахунок інших витрат.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2.7. Складання калькуляції розробки ПП.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Прогнозування комерційних ефектів від реалізації результатів ПП.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Висновок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Перелік використаних джерел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b w:val="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ЗАГАЛЬНІ ПОЛОЖЕННЯ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Сучасна динамічна конкуренція, заснована на інноваційному перетворенні економічного простору, посилила роль інформації в процесі суспільного виробництва, створила нову ланку в економіці – інформаційний бізнес. Інформація і технології, пов’язані з нею, визначають темпи росту економіки – темпи приросту ВВП, ступінь зрілості, розвитку і становлення громадського суспільства, що, в свою чергу, визначає темпи росту економіки і соціальної сфери.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сьогоднішній день 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нформаційний бізнес, з одного боку, входить в інфраструктуру всієї системи підприємницької діяльності нарівні з банками, біржами, аудиторськими компаніями тощо, з іншого боку, є самостійною сферою бізнесу, яка приносить значні прибутки.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щоб отримати прибутки треба спрогнозувати і прорахувати собівартість продукту чи послуги, яка продається в сфері ІТ-бізнесу. Це потрібно для того щоб визначитися з майбутньою ціною, в якій буде закладено бажаний прибуток.</w:t>
      </w:r>
    </w:p>
    <w:p w:rsidR="00000000" w:rsidDel="00000000" w:rsidP="00000000" w:rsidRDefault="00000000" w:rsidRPr="00000000" w14:paraId="0000006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собівартості  та вартості  є завершальним етапом створення програмних продуктів чи послуг. Процес розрахунку собівартості та ціни є предметом написання економічної частини дипломного проєкту.</w:t>
      </w:r>
    </w:p>
    <w:p w:rsidR="00000000" w:rsidDel="00000000" w:rsidP="00000000" w:rsidRDefault="00000000" w:rsidRPr="00000000" w14:paraId="0000006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економічної частини дипломного проєкту – набуття практичних навичок при виконанні економічних розрахунків, розвитку економічного мислення та вмінь поєднувати набуті теоретичні знання з результатами економічних розрахунків для аналізу ІТ-ринку.</w:t>
      </w:r>
    </w:p>
    <w:p w:rsidR="00000000" w:rsidDel="00000000" w:rsidP="00000000" w:rsidRDefault="00000000" w:rsidRPr="00000000" w14:paraId="0000006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завдання  економічної частини дипломного проєкту: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описати програмний продукт;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розрахувати собівартість продукту;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розрахувати ціну продукту та майбутній прибуток;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проаналізувати отримані розрахунки та зробити відповідні висновки.</w:t>
      </w:r>
    </w:p>
    <w:p w:rsidR="00000000" w:rsidDel="00000000" w:rsidP="00000000" w:rsidRDefault="00000000" w:rsidRPr="00000000" w14:paraId="0000006A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Економічна частина частина складається з чотирьох основних пунктів: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Опис програмного продукту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Визначення собівартості розробки ПП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Прогнозування комерційних ефектів від реалізації результатів ПП. 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Висновок</w:t>
      </w:r>
    </w:p>
    <w:p w:rsidR="00000000" w:rsidDel="00000000" w:rsidP="00000000" w:rsidRDefault="00000000" w:rsidRPr="00000000" w14:paraId="0000006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пункті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програмного продукту (ПП)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описати програмний продукт, вказавши його назву та основні характеристики.</w:t>
      </w:r>
    </w:p>
    <w:p w:rsidR="00000000" w:rsidDel="00000000" w:rsidP="00000000" w:rsidRDefault="00000000" w:rsidRPr="00000000" w14:paraId="00000070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пункті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Визначення собівартості розробки ПП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скласти перелік робіт, які слід виконати, потім розрахувати трудовитрати на їх виконання;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розрахувати заробітну плату розробників;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відрахування ЄСВ;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розрахувати витрати на матеріали;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розрахувати витрати на електроенергію, яку споживає комп’ютер;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розрахувати витрати на амортизацію комп’ютера;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розрахувати інші витрати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скласти калькуляцію програмного продукту.</w:t>
      </w:r>
    </w:p>
    <w:p w:rsidR="00000000" w:rsidDel="00000000" w:rsidP="00000000" w:rsidRDefault="00000000" w:rsidRPr="00000000" w14:paraId="00000079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переліку етапів робіт, які необхідно виконати входить: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формулювання постановки задачі;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проектування програмного продукту;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розробка програмного продукту;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тестування і впровадження продукту;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економічний супровід у вигляді розрахунку собівартості та вартості розробки ПП.</w:t>
      </w:r>
    </w:p>
    <w:p w:rsidR="00000000" w:rsidDel="00000000" w:rsidP="00000000" w:rsidRDefault="00000000" w:rsidRPr="00000000" w14:paraId="0000007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пункті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Прогнозування комерційних ефектів від реалізації результатів ПП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прогнозується фінансовий результат від реалізації ПП на ринку аналогічних товарів.</w:t>
      </w:r>
    </w:p>
    <w:p w:rsidR="00000000" w:rsidDel="00000000" w:rsidP="00000000" w:rsidRDefault="00000000" w:rsidRPr="00000000" w14:paraId="0000008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проводиться аналіз виконаних розрахунків та прогнозується економічний ефект від продажу ПП.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ЕКОНОМІЧНА ЧАСТИНА</w:t>
      </w:r>
    </w:p>
    <w:p w:rsidR="00000000" w:rsidDel="00000000" w:rsidP="00000000" w:rsidRDefault="00000000" w:rsidRPr="00000000" w14:paraId="00000083">
      <w:pPr>
        <w:pStyle w:val="Heading2"/>
        <w:rPr>
          <w:b w:val="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 Опис 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Написати коротку характеристику виготовленого ПП: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 ПП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характеристики ПП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якому програмному середовищі розроблений ПП, на яких системах може використовуватися.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Ринки збуту ПП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Визначення собівартості розробки ПП.</w:t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2.1. Склад виконавців роботи та розрахунок  загального фонду заробітної плати </w:t>
      </w:r>
    </w:p>
    <w:p w:rsidR="00000000" w:rsidDel="00000000" w:rsidP="00000000" w:rsidRDefault="00000000" w:rsidRPr="00000000" w14:paraId="0000008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керування ходом робіт і ведення всього проекту в цілому необхідна посада керівника.  Таким керівником при розробці даного ПП виступає керівник дипломного проекту . На дипломне проектуванні керівнику надається 5 годин по тарифікації – 120 грн. за годину .</w:t>
      </w:r>
    </w:p>
    <w:p w:rsidR="00000000" w:rsidDel="00000000" w:rsidP="00000000" w:rsidRDefault="00000000" w:rsidRPr="00000000" w14:paraId="0000008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розробки програмного продукту та його подальшого налагодження необхідна участь програміста, в даному випадку програмістом є учень. Середня зарплата ІТ-спеціаліста в Івано-франківську становить 600 доларів. Учень – є початківцем на ІТ-ринку, тому його заробіток вимірюється в розмірі – 400 доларів за місяць, який потрібно перерахувати у гривневому еквіваленті. Для цього потрібно 400 доларів помножити на поточний курс долара відносно української гривні, станом на момент виконання ІТ-розробки.</w:t>
      </w:r>
    </w:p>
    <w:p w:rsidR="00000000" w:rsidDel="00000000" w:rsidP="00000000" w:rsidRDefault="00000000" w:rsidRPr="00000000" w14:paraId="0000008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проведення тестування необхідна посада тестувальника. Вважається, що тестувальником є певна особа з середньою зарплатою 300 гривень за годину. Над роботою працює 2 робочі дні. Робочий день становить – 8 годин. </w:t>
      </w:r>
    </w:p>
    <w:p w:rsidR="00000000" w:rsidDel="00000000" w:rsidP="00000000" w:rsidRDefault="00000000" w:rsidRPr="00000000" w14:paraId="0000009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Економічний супровід виконує викладач економічних дисциплін, який консультує виконання економічної частини дипломного проєкту. Консультування проводиться протягом  5 годин по тарифікації 110 грн. за  годину.</w:t>
      </w:r>
    </w:p>
    <w:p w:rsidR="00000000" w:rsidDel="00000000" w:rsidP="00000000" w:rsidRDefault="00000000" w:rsidRPr="00000000" w14:paraId="0000009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Термін виконання завдання в кожного розробника ПП – різний, в залежності від складності розробки ПП. Враховуються тільки робочі дні, виключаються з терміну всі вихідні та святкові дні. </w:t>
      </w:r>
    </w:p>
    <w:p w:rsidR="00000000" w:rsidDel="00000000" w:rsidP="00000000" w:rsidRDefault="00000000" w:rsidRPr="00000000" w14:paraId="0000009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святкових днів, які можуть припадати на час виконання розробки ПП – 1 січня, 7 січня, 8 березня, перший день Великодня, 1 травня, 9 травня, перший день Святої Трійці. Якщо святковий день припадає на вихідні дні, то перший робочий день, який слідує за ним є вихідним.</w:t>
      </w:r>
    </w:p>
    <w:p w:rsidR="00000000" w:rsidDel="00000000" w:rsidP="00000000" w:rsidRDefault="00000000" w:rsidRPr="00000000" w14:paraId="00000093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про посадові оклади і склад виконавців роботи заносимо в таблицю 2.1.1. </w:t>
      </w:r>
    </w:p>
    <w:p w:rsidR="00000000" w:rsidDel="00000000" w:rsidP="00000000" w:rsidRDefault="00000000" w:rsidRPr="00000000" w14:paraId="0000009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Посадові оклади та склад виконавців розробки ПП.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Таблиця .2.1.1.</w:t>
      </w:r>
    </w:p>
    <w:tbl>
      <w:tblPr>
        <w:tblStyle w:val="Table5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"/>
        <w:gridCol w:w="3151"/>
        <w:gridCol w:w="2101"/>
        <w:gridCol w:w="1969"/>
        <w:gridCol w:w="1924"/>
        <w:tblGridChange w:id="0">
          <w:tblGrid>
            <w:gridCol w:w="484"/>
            <w:gridCol w:w="3151"/>
            <w:gridCol w:w="2101"/>
            <w:gridCol w:w="1969"/>
            <w:gridCol w:w="19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 виконавців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Місячний оклад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Погодинна ставка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годин, днів на виконання відповідного завдання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Керівник ДР - ПІБ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Програміст - ПІБ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Тестувальник - ПІБ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Економіст _ПІБ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Заробітна плата – винагорода за працю залежно від кваліфікації працівника, складності, кількості, якості, терміну та умов виконуваної роботи, а також компенсаційні виплати і стимулюючі виплати.</w:t>
      </w:r>
    </w:p>
    <w:p w:rsidR="00000000" w:rsidDel="00000000" w:rsidP="00000000" w:rsidRDefault="00000000" w:rsidRPr="00000000" w14:paraId="000000B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витрат на заробітну плату праці відносяться основна і додаткова заробітна плата персоналу, зайнятого безпосередньо при виконанні даної розробки ПП. Основна заробітна плата (ЗПосн) складається з суми зарплати: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Керівника ДП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Програміста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Тестувальника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Економіста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 заробітна плата керівника (ЗПо.к.) розраховується за формулою:</w:t>
      </w:r>
    </w:p>
    <w:p w:rsidR="00000000" w:rsidDel="00000000" w:rsidP="00000000" w:rsidRDefault="00000000" w:rsidRPr="00000000" w14:paraId="000000B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ЗПо.к =погодинна ставка *кількість відпрацьованих годин ( грн., коп.)</w:t>
      </w:r>
    </w:p>
    <w:p w:rsidR="00000000" w:rsidDel="00000000" w:rsidP="00000000" w:rsidRDefault="00000000" w:rsidRPr="00000000" w14:paraId="000000B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 заробітна плата програміста (ЗПо.п.) розраховується за формулою:</w:t>
      </w:r>
    </w:p>
    <w:p w:rsidR="00000000" w:rsidDel="00000000" w:rsidP="00000000" w:rsidRDefault="00000000" w:rsidRPr="00000000" w14:paraId="000000B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ЗПо.п =середньоденна зарплата *кількість відпрацьваних днів ( грн., коп.)</w:t>
      </w:r>
    </w:p>
    <w:p w:rsidR="00000000" w:rsidDel="00000000" w:rsidP="00000000" w:rsidRDefault="00000000" w:rsidRPr="00000000" w14:paraId="000000B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Середньоденна зарплата = Оклад / кількість робочих днів ( грн., коп.)</w:t>
      </w:r>
    </w:p>
    <w:p w:rsidR="00000000" w:rsidDel="00000000" w:rsidP="00000000" w:rsidRDefault="00000000" w:rsidRPr="00000000" w14:paraId="000000B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 заробітна плата тестувальника (ЗПо.т.) розраховується за формулою:</w:t>
      </w:r>
    </w:p>
    <w:p w:rsidR="00000000" w:rsidDel="00000000" w:rsidP="00000000" w:rsidRDefault="00000000" w:rsidRPr="00000000" w14:paraId="000000B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ЗПо.т=зарплата за день *кількість відпрацьваних днів ( грн., коп.)</w:t>
      </w:r>
    </w:p>
    <w:p w:rsidR="00000000" w:rsidDel="00000000" w:rsidP="00000000" w:rsidRDefault="00000000" w:rsidRPr="00000000" w14:paraId="000000C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 заробітна плата економіста (ЗПо.е.) розраховується за формулою:</w:t>
      </w:r>
    </w:p>
    <w:p w:rsidR="00000000" w:rsidDel="00000000" w:rsidP="00000000" w:rsidRDefault="00000000" w:rsidRPr="00000000" w14:paraId="000000C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ЗПо.к = погодинна ставка *кількість відпрацьваних годин ( грн., коп.)</w:t>
      </w:r>
    </w:p>
    <w:p w:rsidR="00000000" w:rsidDel="00000000" w:rsidP="00000000" w:rsidRDefault="00000000" w:rsidRPr="00000000" w14:paraId="000000C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Підсумовуємо всю основну зарплату виконавців ПП:</w:t>
      </w:r>
    </w:p>
    <w:p w:rsidR="00000000" w:rsidDel="00000000" w:rsidP="00000000" w:rsidRDefault="00000000" w:rsidRPr="00000000" w14:paraId="000000C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ЗПосн. = ЗПо.к + ЗПо.п + ЗПо.т + ЗПо.е.               ( грн., коп.)</w:t>
      </w:r>
    </w:p>
    <w:p w:rsidR="00000000" w:rsidDel="00000000" w:rsidP="00000000" w:rsidRDefault="00000000" w:rsidRPr="00000000" w14:paraId="000000C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проводиться розрахунок додаткової заробітної плати (ЗПдод).</w:t>
      </w:r>
    </w:p>
    <w:p w:rsidR="00000000" w:rsidDel="00000000" w:rsidP="00000000" w:rsidRDefault="00000000" w:rsidRPr="00000000" w14:paraId="000000C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Дадаткова зарплата – це всі виплати, які дораховуються до основного заробітку, у вигляді компенсаційних та заохочувальних виплат ( відпускні, премії, лікарняні, надбавки…).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Припустимо, що додаткова зарплата  становить 20% (Н дод ) від основної заробітної плати і розраховується за формулою: </w:t>
      </w:r>
    </w:p>
    <w:p w:rsidR="00000000" w:rsidDel="00000000" w:rsidP="00000000" w:rsidRDefault="00000000" w:rsidRPr="00000000" w14:paraId="000000C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ЗПдод = ЗПосн 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Ндод.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 грн., коп.)</w:t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Ндод – коефіцієнт додаткової зарплати, рівний 20%. </w:t>
      </w:r>
    </w:p>
    <w:p w:rsidR="00000000" w:rsidDel="00000000" w:rsidP="00000000" w:rsidRDefault="00000000" w:rsidRPr="00000000" w14:paraId="000000C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Разом, загальний фонд заробітної плати становить: </w:t>
      </w:r>
    </w:p>
    <w:p w:rsidR="00000000" w:rsidDel="00000000" w:rsidP="00000000" w:rsidRDefault="00000000" w:rsidRPr="00000000" w14:paraId="000000C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ЗП = ЗПосн + ЗПдод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 грн., коп.)</w:t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Нарахування ЄСВ. </w:t>
      </w:r>
    </w:p>
    <w:p w:rsidR="00000000" w:rsidDel="00000000" w:rsidP="00000000" w:rsidRDefault="00000000" w:rsidRPr="00000000" w14:paraId="000000D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Єдиний соціальний внесок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ЄСВ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) – це той обов'язковий платіж, який здійснюється роботодавцями за своїх працівників при нарахуванні їм заробітної плати, винагород за цивільно-правовими договорами (ЦПД), а також деяких інших виплат.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ЄСВ становить в Україні 22% від загального фонду нарахованої зарплати.</w:t>
      </w:r>
    </w:p>
    <w:p w:rsidR="00000000" w:rsidDel="00000000" w:rsidP="00000000" w:rsidRDefault="00000000" w:rsidRPr="00000000" w14:paraId="000000D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ЄСВ розраховується за формулою:</w:t>
      </w:r>
    </w:p>
    <w:p w:rsidR="00000000" w:rsidDel="00000000" w:rsidP="00000000" w:rsidRDefault="00000000" w:rsidRPr="00000000" w14:paraId="000000D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ЄСВ = ЗП 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% ЄСВ, ( грн., коп.)</w:t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% ЄСВ = 22%;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ЗП – загальний фонд зарплати, розрахований у пункті 2.1.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2.3. Розрахунок витрат на матеріали.</w:t>
      </w:r>
    </w:p>
    <w:p w:rsidR="00000000" w:rsidDel="00000000" w:rsidP="00000000" w:rsidRDefault="00000000" w:rsidRPr="00000000" w14:paraId="000000D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витрат на матеріали, включаються матеріали визначені їх потребою для розробки ПП в кількості та цінах, що діють на момент складання розрахунку. Для розробки даного ПП необхідно : 1 шт. олівець, 1 шт. блокнот, кольорові олівці (за потребою). Якщо є інші матеріальні витрати – вказати. Ціни вказати згідно даних про ціни місцевого ринку.</w:t>
      </w:r>
    </w:p>
    <w:p w:rsidR="00000000" w:rsidDel="00000000" w:rsidP="00000000" w:rsidRDefault="00000000" w:rsidRPr="00000000" w14:paraId="000000D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Матеріальні витрати розраховуються за такою формулою: </w:t>
      </w:r>
    </w:p>
    <w:p w:rsidR="00000000" w:rsidDel="00000000" w:rsidP="00000000" w:rsidRDefault="00000000" w:rsidRPr="00000000" w14:paraId="000000D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М = ∑ 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× Ц, ( грн. коп. )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М – сумарні витрати на матеріали; Q – кількість використаних одиниць  матеріалів, Ц – ціна одиниці матеріалу.</w:t>
      </w:r>
    </w:p>
    <w:p w:rsidR="00000000" w:rsidDel="00000000" w:rsidP="00000000" w:rsidRDefault="00000000" w:rsidRPr="00000000" w14:paraId="000000D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Розрахунок матеріальних витрат представлено в таблиці 2.3.1.</w:t>
      </w:r>
    </w:p>
    <w:p w:rsidR="00000000" w:rsidDel="00000000" w:rsidP="00000000" w:rsidRDefault="00000000" w:rsidRPr="00000000" w14:paraId="000000DE">
      <w:pPr>
        <w:keepNext w:val="1"/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Розрахунок матеріальних витрат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Таблиця 2.3.1.</w:t>
      </w:r>
      <w:r w:rsidDel="00000000" w:rsidR="00000000" w:rsidRPr="00000000">
        <w:rPr>
          <w:rtl w:val="0"/>
        </w:rPr>
      </w:r>
    </w:p>
    <w:tbl>
      <w:tblPr>
        <w:tblStyle w:val="Table6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"/>
        <w:gridCol w:w="3523"/>
        <w:gridCol w:w="1299"/>
        <w:gridCol w:w="1427"/>
        <w:gridCol w:w="1451"/>
        <w:gridCol w:w="1431"/>
        <w:tblGridChange w:id="0">
          <w:tblGrid>
            <w:gridCol w:w="498"/>
            <w:gridCol w:w="3523"/>
            <w:gridCol w:w="1299"/>
            <w:gridCol w:w="1427"/>
            <w:gridCol w:w="1451"/>
            <w:gridCol w:w="1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матеріалів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Одиниці виміру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Ціна за одиницю, грн. коп.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Кількість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Вартість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 витрат на матеріали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2.4. Розрахунок витрат на використану обладнанням електроенергію.</w:t>
      </w:r>
    </w:p>
    <w:p w:rsidR="00000000" w:rsidDel="00000000" w:rsidP="00000000" w:rsidRDefault="00000000" w:rsidRPr="00000000" w14:paraId="0000010B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Витрати на використану обладнанням електроенергію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 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розраховуються за формулою: </w:t>
      </w:r>
    </w:p>
    <w:p w:rsidR="00000000" w:rsidDel="00000000" w:rsidP="00000000" w:rsidRDefault="00000000" w:rsidRPr="00000000" w14:paraId="000001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Е = M ∙ t ∙ TкВт,  ( грн. коп. )</w:t>
      </w:r>
    </w:p>
    <w:p w:rsidR="00000000" w:rsidDel="00000000" w:rsidP="00000000" w:rsidRDefault="00000000" w:rsidRPr="00000000" w14:paraId="000001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М – потужність устаткування, тобто кількість енергії, споживаної за одиницю часу (кВт/година); t – кількість годин використання устаткування за період проведення розробки ПП; ТкВт – тариф, тобто вартість використання 1 кВт електроенергії. </w:t>
      </w:r>
    </w:p>
    <w:p w:rsidR="00000000" w:rsidDel="00000000" w:rsidP="00000000" w:rsidRDefault="00000000" w:rsidRPr="00000000" w14:paraId="0000010E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Потужність приладів, для розробки складає: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 - 1 кВт/година;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ноутбук – 0,03 кВт/година;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планшет – 0, 03 кВт/година;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смартфон  – 0, 03 кВт/година;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айфон – 0, 03 кВт/година.</w:t>
      </w:r>
    </w:p>
    <w:p w:rsidR="00000000" w:rsidDel="00000000" w:rsidP="00000000" w:rsidRDefault="00000000" w:rsidRPr="00000000" w14:paraId="00000114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Тариф на електроенергію складає 1,68 грн./кВт годин.  </w:t>
      </w:r>
    </w:p>
    <w:p w:rsidR="00000000" w:rsidDel="00000000" w:rsidP="00000000" w:rsidRDefault="00000000" w:rsidRPr="00000000" w14:paraId="00000115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годин використання устаткування за період проведення розробки ПП визначити опираючись на те, що устаткування працювало в середньому  - 4 години за 1 день виконання розробки.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2.5. Розрахунок витрат на амортизацію устаткування.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Амортизація - це систематичний розподіл вартості необоротних активів, що амортизується(первісна мінус ліквідаційна вартість )упродовж строку їх корисного використання( експлуатації).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такі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етоди амортизації: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before="280" w:line="360" w:lineRule="auto"/>
        <w:ind w:left="720" w:hanging="360"/>
        <w:jc w:val="both"/>
        <w:rPr>
          <w:color w:val="2424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- прямолінійного списання;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color w:val="2424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- зменшення залишкової вартості;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color w:val="2424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- прискореного зменшення залишкової вартості;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color w:val="2424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- кумулятивний;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color w:val="2424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- виробничий.</w:t>
      </w:r>
    </w:p>
    <w:p w:rsidR="00000000" w:rsidDel="00000000" w:rsidP="00000000" w:rsidRDefault="00000000" w:rsidRPr="00000000" w14:paraId="0000011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Амортизація устаткування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 А ),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які використовувались при розробці програмного продукту розраховується за методом прямолінійного списання по формулі:</w:t>
      </w:r>
    </w:p>
    <w:p w:rsidR="00000000" w:rsidDel="00000000" w:rsidP="00000000" w:rsidRDefault="00000000" w:rsidRPr="00000000" w14:paraId="0000011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Ар=ПВ / Т ( грн. коп.) – річна амортизація;</w:t>
      </w:r>
    </w:p>
    <w:p w:rsidR="00000000" w:rsidDel="00000000" w:rsidP="00000000" w:rsidRDefault="00000000" w:rsidRPr="00000000" w14:paraId="0000011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ПВ – вартість персонального комп’ютера ( ноутбука, смартфона, планшета, айфона);Т – термін корисного використання комп’ютера ( ноутбука, смартфона, планшета, айфона) становить 4 роки.</w:t>
      </w:r>
    </w:p>
    <w:p w:rsidR="00000000" w:rsidDel="00000000" w:rsidP="00000000" w:rsidRDefault="00000000" w:rsidRPr="00000000" w14:paraId="0000012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Витрати на амортизацію вказати за місячною амортизацією, яка розраховується за формулою:</w:t>
      </w:r>
    </w:p>
    <w:p w:rsidR="00000000" w:rsidDel="00000000" w:rsidP="00000000" w:rsidRDefault="00000000" w:rsidRPr="00000000" w14:paraId="0000012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Ам= Ар /12 місяців ( грн. коп.) – місячна амортизація.</w:t>
      </w:r>
    </w:p>
    <w:p w:rsidR="00000000" w:rsidDel="00000000" w:rsidP="00000000" w:rsidRDefault="00000000" w:rsidRPr="00000000" w14:paraId="000001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Отриману місячну амортизацію помножити на кількість місяців використання.</w:t>
      </w:r>
    </w:p>
    <w:p w:rsidR="00000000" w:rsidDel="00000000" w:rsidP="00000000" w:rsidRDefault="00000000" w:rsidRPr="00000000" w14:paraId="000001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2.6. Розрахунок інших витрат.</w:t>
      </w:r>
    </w:p>
    <w:p w:rsidR="00000000" w:rsidDel="00000000" w:rsidP="00000000" w:rsidRDefault="00000000" w:rsidRPr="00000000" w14:paraId="0000012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інших витрат  на розробку ПП слід віднести: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Витрати на оренду робочого місця ( якщо необхідно, орендувати робоче місце, то його  середня вартість – 7000грн.);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вартість оплати послуг зв’язку:</w:t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інтернет – із розрахунку 200 грн. на місяць (безлімітний пакет)</w:t>
      </w:r>
    </w:p>
    <w:p w:rsidR="00000000" w:rsidDel="00000000" w:rsidP="00000000" w:rsidRDefault="00000000" w:rsidRPr="00000000" w14:paraId="0000012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телефон – із розрахунку 75 грн. на місяць ( акційний пакет)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загальновиробничі витрати (водопостачання, водовідведення, освітлення, опалення…), які прийнято у розмірі 20% від суми основної зарплати.</w:t>
      </w:r>
    </w:p>
    <w:p w:rsidR="00000000" w:rsidDel="00000000" w:rsidP="00000000" w:rsidRDefault="00000000" w:rsidRPr="00000000" w14:paraId="000001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2.7. Складання калькуляції розробки ПП.</w:t>
      </w:r>
    </w:p>
    <w:p w:rsidR="00000000" w:rsidDel="00000000" w:rsidP="00000000" w:rsidRDefault="00000000" w:rsidRPr="00000000" w14:paraId="0000012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Калькуляція собівартості розраховується відповідно до існуючих нормативних актів України. </w:t>
      </w:r>
    </w:p>
    <w:p w:rsidR="00000000" w:rsidDel="00000000" w:rsidP="00000000" w:rsidRDefault="00000000" w:rsidRPr="00000000" w14:paraId="0000012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складу калькуляції входять такі статті витрат: </w:t>
      </w:r>
    </w:p>
    <w:p w:rsidR="00000000" w:rsidDel="00000000" w:rsidP="00000000" w:rsidRDefault="00000000" w:rsidRPr="00000000" w14:paraId="00000130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матеріальні витрати; </w:t>
      </w:r>
    </w:p>
    <w:p w:rsidR="00000000" w:rsidDel="00000000" w:rsidP="00000000" w:rsidRDefault="00000000" w:rsidRPr="00000000" w14:paraId="00000131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витрати на оплату праці; </w:t>
      </w:r>
    </w:p>
    <w:p w:rsidR="00000000" w:rsidDel="00000000" w:rsidP="00000000" w:rsidRDefault="00000000" w:rsidRPr="00000000" w14:paraId="00000132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єдиний соціальний внесок; </w:t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витрати на спожиту електроенергію;</w:t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амортизація основних засобів; 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інші витрати.</w:t>
      </w:r>
    </w:p>
    <w:p w:rsidR="00000000" w:rsidDel="00000000" w:rsidP="00000000" w:rsidRDefault="00000000" w:rsidRPr="00000000" w14:paraId="00000136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Калькуляцію складаємо у вигляді таблиці.</w:t>
      </w:r>
    </w:p>
    <w:p w:rsidR="00000000" w:rsidDel="00000000" w:rsidP="00000000" w:rsidRDefault="00000000" w:rsidRPr="00000000" w14:paraId="00000137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Калькуляція розробки ПП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Таблиця 2.7.1.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7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6946"/>
        <w:gridCol w:w="2121"/>
        <w:tblGridChange w:id="0">
          <w:tblGrid>
            <w:gridCol w:w="562"/>
            <w:gridCol w:w="6946"/>
            <w:gridCol w:w="21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калькуляційної статті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Сума, грн.коп.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Матеріальні витрати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360" w:lineRule="auto"/>
              <w:ind w:firstLine="744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основна зарплата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ind w:firstLine="744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додаткова зарплата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Витрати на оплату праці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Єдиний соціальний внесок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Витрати на спожиту електроенергію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Амортизація основних засобів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ind w:firstLine="744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загальновиробничі витрати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ind w:firstLine="744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витрати на інтернет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ind w:firstLine="744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витрати на мобільний зв’язок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ind w:firstLine="744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витрати на оренду робочого місця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Інші витрати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Повна собівартість розробки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 3. Прогнозування комерційних ефектів від реалізації результатів ПП. </w:t>
      </w:r>
    </w:p>
    <w:p w:rsidR="00000000" w:rsidDel="00000000" w:rsidP="00000000" w:rsidRDefault="00000000" w:rsidRPr="00000000" w14:paraId="0000016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даному розділі прогнозується фінансовий результат від реалізації ПП на ринку аналогічних товарів. Для цього слід розрахувати ціну розробки ПП.</w:t>
      </w:r>
    </w:p>
    <w:p w:rsidR="00000000" w:rsidDel="00000000" w:rsidP="00000000" w:rsidRDefault="00000000" w:rsidRPr="00000000" w14:paraId="0000016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Методологія розрахунку ціни  реалізації розробки ПП: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Повна собівартість розробки * % очікуваного прибутку ( припускаємо , що очікується отримати 50% прибутку) = прибуток;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Повна собівартість розробки + прибуток = додаткова вартість на яку нараховується ПДВ.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Додаткова вартість * 20% = сума ПДВ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Додаткова вартість + ПДВ = ціна розробки ПП.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Висновок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собівартості та вартості є завершальним етапом створення програмних продуктів чи послуг. У даному розділі проведено  оцінка всіх кількісних витрат на розробку представленого в дипломній роботі програмного продукту та проведено розрахунки економічних показників щодо реалізації ПП на ринку аналогічних товарів. </w:t>
      </w:r>
    </w:p>
    <w:p w:rsidR="00000000" w:rsidDel="00000000" w:rsidP="00000000" w:rsidRDefault="00000000" w:rsidRPr="00000000" w14:paraId="0000016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розробку даного ПП витрачено: </w:t>
      </w:r>
    </w:p>
    <w:p w:rsidR="00000000" w:rsidDel="00000000" w:rsidP="00000000" w:rsidRDefault="00000000" w:rsidRPr="00000000" w14:paraId="0000016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матеріальні витрати; </w:t>
      </w:r>
    </w:p>
    <w:p w:rsidR="00000000" w:rsidDel="00000000" w:rsidP="00000000" w:rsidRDefault="00000000" w:rsidRPr="00000000" w14:paraId="0000016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витрати на оплату праці; </w:t>
      </w:r>
    </w:p>
    <w:p w:rsidR="00000000" w:rsidDel="00000000" w:rsidP="00000000" w:rsidRDefault="00000000" w:rsidRPr="00000000" w14:paraId="0000017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єдиний соціальний внесок; </w:t>
      </w:r>
    </w:p>
    <w:p w:rsidR="00000000" w:rsidDel="00000000" w:rsidP="00000000" w:rsidRDefault="00000000" w:rsidRPr="00000000" w14:paraId="0000017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витрати на спожиту електроенергію;</w:t>
      </w:r>
    </w:p>
    <w:p w:rsidR="00000000" w:rsidDel="00000000" w:rsidP="00000000" w:rsidRDefault="00000000" w:rsidRPr="00000000" w14:paraId="0000017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амортизація основних засобів; 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інші витрати.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Звідси собівартість розробки складає певну суму. 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щоб реалізувати ПП розраховано ціну розробки. Рентабельність виробу складає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Перелік використаних джерел</w:t>
      </w:r>
    </w:p>
    <w:p w:rsidR="00000000" w:rsidDel="00000000" w:rsidP="00000000" w:rsidRDefault="00000000" w:rsidRPr="00000000" w14:paraId="00000178">
      <w:pPr>
        <w:tabs>
          <w:tab w:val="left" w:leader="none" w:pos="216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 література: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tabs>
          <w:tab w:val="left" w:leader="none" w:pos="720"/>
        </w:tabs>
        <w:spacing w:after="0" w:line="360" w:lineRule="auto"/>
        <w:ind w:left="72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Белей М.Я., Луцишин Л.М. “Економіка й організація виробництва»: навч. посіб.- І-Ф, 2008,275с.;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tabs>
          <w:tab w:val="left" w:leader="none" w:pos="720"/>
        </w:tabs>
        <w:spacing w:after="0" w:line="360" w:lineRule="auto"/>
        <w:ind w:left="72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Боднар н.М. «Економіка підприємства»: навч. посіб.- К.: «А,С,К,» 2005.400с.;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tabs>
          <w:tab w:val="left" w:leader="none" w:pos="720"/>
        </w:tabs>
        <w:spacing w:after="0" w:line="360" w:lineRule="auto"/>
        <w:ind w:left="72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Полеха Ю.І., Горбань Ю.І. «Інформаційний бізнес»: підручник: Ліра-К, 2017,472с.;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216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Додаткова література: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Андрєєва Л.О. Методичні аспекти стратегічного розвитку підприємств/ Л.О. Андрєєва, О.І. Лисак // Науковий журнл «Бізнес-інформ», № 6, 2016 – С. 227-231.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Грицаєнко Г.І. Основи інвестиційної діяльності: навчальний посібник. / Г.І. Грицаєнко – Мелітополь: Видавничий будинок Мелітопольської міської друкарні, 2014. – 224 с.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709" w:right="0" w:hanging="283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Лисак О.І. Перспективи розвитку електронної комерції в Україні / О.І. Лисак / Збірник наукових праць ТДАТУ (економічні науки) – Мелітополь: Вид-во Мелітопольська типографія «Люкс». – 2017. – №3 (35). – С. 46-55.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Інтернет ресурси: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shd w:fill="ffffff" w:val="clear"/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studentam.net.ua – Інформаційний бізнес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shd w:fill="ffffff" w:val="clear"/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ukrkniga.org.ua/ukrkniga-tet/756/- Економіка підприємства</w:t>
      </w:r>
    </w:p>
    <w:sectPr>
      <w:footerReference r:id="rId8" w:type="default"/>
      <w:type w:val="nextPage"/>
      <w:pgSz w:h="16838" w:w="11906" w:orient="portrait"/>
      <w:pgMar w:bottom="850" w:top="850" w:left="1417" w:right="850" w:header="708" w:footer="708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13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