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107" w:type="pct"/>
        <w:tblBorders/>
        <w:tblLook w:val="04A0" w:firstRow="1" w:lastRow="0" w:firstColumn="1" w:lastColumn="0" w:noHBand="0" w:noVBand="1"/>
      </w:tblPr>
      <w:tblGrid>
        <w:gridCol w:w="1134"/>
        <w:gridCol w:w="1134"/>
      </w:tblGrid>
      <w:tr>
        <w:trPr>
          <w:tblHeader/>
        </w:trPr>
        <w:tc>
          <w:tcPr>
            <w:tcBorders/>
            <w:tcW w:w="2394" w:type="pct"/>
            <w:textDirection w:val="lrTb"/>
            <w:noWrap w:val="false"/>
          </w:tcPr>
          <w:p>
            <w:pPr>
              <w:pBdr/>
              <w:spacing w:before="120"/>
              <w:ind/>
              <w:jc w:val="center"/>
              <w:rPr>
                <w:rFonts w:eastAsia="SimSun"/>
              </w:rPr>
            </w:pPr>
            <w:r>
              <w:rPr>
                <w:sz w:val="24"/>
                <w:szCs w:val="24"/>
              </w:rPr>
              <w:t xml:space="preserve">NGÂN HÀNG NÔNG NGHIỆP</w:t>
            </w:r>
            <w:r>
              <w:rPr>
                <w:rFonts w:eastAsia="SimSun"/>
              </w:rPr>
            </w:r>
            <w:r>
              <w:rPr>
                <w:rFonts w:eastAsia="SimSun"/>
              </w:rPr>
            </w:r>
          </w:p>
          <w:p>
            <w:pPr>
              <w:pBdr/>
              <w:spacing/>
              <w:ind/>
              <w:jc w:val="center"/>
              <w:rPr>
                <w:rFonts w:eastAsia="SimSun"/>
              </w:rPr>
            </w:pPr>
            <w:r>
              <w:rPr>
                <w:sz w:val="24"/>
                <w:szCs w:val="24"/>
              </w:rPr>
              <w:t xml:space="preserve">VÀ PHÁT TRIỂN NÔNG THÔN VIỆT NAM</w:t>
            </w:r>
            <w:r>
              <w:rPr>
                <w:rFonts w:eastAsia="SimSun"/>
              </w:rPr>
            </w:r>
            <w:r>
              <w:rPr>
                <w:rFonts w:eastAsia="SimSun"/>
              </w:rPr>
            </w:r>
          </w:p>
          <w:p>
            <w:pPr>
              <w:pBdr/>
              <w:spacing w:before="120"/>
              <w:ind/>
              <w:jc w:val="center"/>
              <w:rPr>
                <w:rFonts w:eastAsia="SimSun"/>
                <w:b/>
              </w:rPr>
            </w:pPr>
            <w:r>
              <w:rPr>
                <w:b/>
                <w:bCs/>
                <w:sz w:val="24"/>
                <w:szCs w:val="24"/>
              </w:rPr>
              <w:t xml:space="preserve">[Tên gọi in hoa]</w:t>
            </w:r>
            <w:r>
              <w:rPr>
                <w:rFonts w:eastAsia="SimSun"/>
                <w:b/>
              </w:rPr>
            </w:r>
            <w:r>
              <w:rPr>
                <w:rFonts w:eastAsia="SimSun"/>
                <w:b/>
              </w:rPr>
            </w:r>
          </w:p>
        </w:tc>
        <w:tc>
          <w:tcPr>
            <w:tcBorders/>
            <w:tcW w:w="2606" w:type="pct"/>
            <w:textDirection w:val="lrTb"/>
            <w:noWrap w:val="false"/>
          </w:tcPr>
          <w:p>
            <w:pPr>
              <w:pBdr/>
              <w:spacing w:before="120"/>
              <w:ind/>
              <w:jc w:val="center"/>
              <w:rPr>
                <w:rFonts w:eastAsia="SimSun"/>
                <w:b/>
              </w:rPr>
            </w:pPr>
            <w:r>
              <w:rPr>
                <w:b/>
                <w:bCs/>
                <w:sz w:val="24"/>
                <w:szCs w:val="24"/>
              </w:rPr>
              <w:t xml:space="preserve">CỘNG HÒA XÃ HỘI CHỦ NGHĨA VIỆT NAM</w:t>
            </w:r>
            <w:r>
              <w:rPr>
                <w:rFonts w:eastAsia="SimSun"/>
                <w:b/>
              </w:rPr>
            </w:r>
            <w:r>
              <w:rPr>
                <w:rFonts w:eastAsia="SimSun"/>
                <w:b/>
              </w:rPr>
            </w:r>
          </w:p>
          <w:p>
            <w:pPr>
              <w:pBdr/>
              <w:spacing/>
              <w:ind/>
              <w:jc w:val="center"/>
              <w:rPr>
                <w:rFonts w:eastAsia="SimSun"/>
                <w:b/>
                <w:i/>
                <w:sz w:val="26"/>
              </w:rPr>
            </w:pPr>
            <w:r>
              <w:rPr>
                <w:b/>
                <w:bCs/>
                <w:i/>
                <w:iCs/>
                <w:sz w:val="26"/>
                <w:szCs w:val="26"/>
              </w:rPr>
              <w:t xml:space="preserve">Độc lập – Tự do – Hạnh phúc</w:t>
            </w:r>
            <w:r>
              <w:rPr>
                <w:rFonts w:eastAsia="SimSun"/>
                <w:b/>
                <w:i/>
                <w:sz w:val="26"/>
              </w:rPr>
            </w:r>
            <w:r>
              <w:rPr>
                <w:rFonts w:eastAsia="SimSun"/>
                <w:b/>
                <w:i/>
                <w:sz w:val="26"/>
              </w:rPr>
            </w:r>
          </w:p>
        </w:tc>
      </w:tr>
    </w:tbl>
    <w:p>
      <w:pPr>
        <w:pBdr/>
        <w:spacing/>
        <w:ind/>
        <w:jc w:val="center"/>
        <w:rPr>
          <w:rFonts w:eastAsia="Calibri"/>
          <w:b/>
          <w:bCs/>
          <w:color w:val="000000"/>
          <w:sz w:val="26"/>
          <w:szCs w:val="28"/>
        </w:rPr>
      </w:pPr>
      <w:r>
        <w:rPr>
          <w:rFonts w:eastAsia="Calibri"/>
          <w:b/>
          <w:bCs/>
          <w:color w:val="000000"/>
          <w:sz w:val="26"/>
          <w:szCs w:val="28"/>
        </w:rPr>
      </w:r>
      <w:r>
        <w:rPr>
          <w:rFonts w:eastAsia="Calibri"/>
          <w:b/>
          <w:bCs/>
          <w:color w:val="000000"/>
          <w:sz w:val="26"/>
          <w:szCs w:val="28"/>
        </w:rPr>
      </w:r>
      <w:r>
        <w:rPr>
          <w:rFonts w:eastAsia="Calibri"/>
          <w:b/>
          <w:bCs/>
          <w:color w:val="000000"/>
          <w:sz w:val="26"/>
          <w:szCs w:val="28"/>
        </w:rPr>
      </w:r>
    </w:p>
    <w:p>
      <w:pPr>
        <w:pBdr/>
        <w:spacing w:before="120"/>
        <w:ind/>
        <w:jc w:val="center"/>
        <w:rPr>
          <w:rFonts w:eastAsia="Calibri"/>
          <w:b/>
          <w:bCs/>
          <w:color w:val="000000"/>
          <w:sz w:val="28"/>
          <w:szCs w:val="28"/>
        </w:rPr>
      </w:pPr>
      <w:r>
        <w:rPr>
          <w:b/>
          <w:bCs/>
          <w:color w:val="000000"/>
          <w:sz w:val="28"/>
          <w:szCs w:val="28"/>
        </w:rPr>
        <w:t xml:space="preserve">BÁO CÁO ĐỀ XUẤT CHO VAY</w:t>
      </w:r>
      <w:r>
        <w:rPr>
          <w:rFonts w:eastAsia="Calibri"/>
          <w:b/>
          <w:bCs/>
          <w:color w:val="000000"/>
          <w:sz w:val="28"/>
          <w:szCs w:val="28"/>
        </w:rPr>
      </w:r>
      <w:r>
        <w:rPr>
          <w:rFonts w:eastAsia="Calibri"/>
          <w:b/>
          <w:bCs/>
          <w:color w:val="000000"/>
          <w:sz w:val="28"/>
          <w:szCs w:val="28"/>
        </w:rPr>
      </w:r>
    </w:p>
    <w:p>
      <w:pPr>
        <w:pBdr/>
        <w:spacing/>
        <w:ind/>
        <w:jc w:val="center"/>
        <w:rPr>
          <w:rFonts w:eastAsia="Calibri"/>
          <w:bCs/>
          <w:i/>
          <w:iCs/>
          <w:color w:val="000000"/>
          <w:sz w:val="26"/>
          <w:szCs w:val="26"/>
        </w:rPr>
      </w:pPr>
      <w:r>
        <w:rPr>
          <w:i/>
          <w:iCs/>
          <w:color w:val="000000"/>
          <w:sz w:val="26"/>
          <w:szCs w:val="26"/>
        </w:rPr>
        <w:t xml:space="preserve">(Áp dụng đối với khách hàng pháp nhân vay vốn ngắn hạn tại Agribank nơi cho vay)</w:t>
      </w:r>
      <w:r>
        <w:rPr>
          <w:rFonts w:eastAsia="Calibri"/>
          <w:bCs/>
          <w:i/>
          <w:iCs/>
          <w:color w:val="000000"/>
          <w:sz w:val="26"/>
          <w:szCs w:val="26"/>
        </w:rPr>
      </w:r>
      <w:r>
        <w:rPr>
          <w:rFonts w:eastAsia="Calibri"/>
          <w:bCs/>
          <w:i/>
          <w:iCs/>
          <w:color w:val="000000"/>
          <w:sz w:val="26"/>
          <w:szCs w:val="26"/>
        </w:rPr>
      </w:r>
    </w:p>
    <w:p>
      <w:pPr>
        <w:pBdr/>
        <w:spacing/>
        <w:ind w:firstLine="567"/>
        <w:jc w:val="both"/>
        <w:rPr>
          <w:rFonts w:eastAsia="Calibri"/>
          <w:bCs/>
          <w:color w:val="000000"/>
          <w:sz w:val="26"/>
          <w:szCs w:val="26"/>
        </w:rPr>
      </w:pPr>
      <w:r>
        <w:rPr>
          <w:rFonts w:eastAsia="Calibri"/>
          <w:bCs/>
          <w:color w:val="000000"/>
          <w:sz w:val="26"/>
          <w:szCs w:val="26"/>
        </w:rPr>
      </w:r>
      <w:r>
        <w:rPr>
          <w:rFonts w:eastAsia="Calibri"/>
          <w:bCs/>
          <w:color w:val="000000"/>
          <w:sz w:val="26"/>
          <w:szCs w:val="26"/>
        </w:rPr>
      </w:r>
      <w:r>
        <w:rPr>
          <w:rFonts w:eastAsia="Calibri"/>
          <w:bCs/>
          <w:color w:val="000000"/>
          <w:sz w:val="26"/>
          <w:szCs w:val="26"/>
        </w:rPr>
      </w:r>
    </w:p>
    <w:p w14:paraId="0E19C16E">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 xml:space="preserve">Căn cứ Quy chế số 656/QC-HĐTV- TD ngày 31/8/2023 của Hội đồng thành viên về việc ban hành quy chế cho vay đối với khách hàng trong hệ thống Agribank; Quy chế 579/QC-HĐTV-TD ngày 28/6/2024 của Hội đồng thành viên về việc sửa đổi, bổ sung một số điều của Quy</w:t>
      </w:r>
      <w:r>
        <w:rPr>
          <w:rFonts w:ascii="Times New Roman" w:hAnsi="Times New Roman" w:eastAsia="Times New Roman" w:cs="Times New Roman"/>
          <w:i/>
          <w:color w:val="000000"/>
          <w:sz w:val="26"/>
        </w:rPr>
        <w:t xml:space="preserve"> chế số 656/QC-HĐTV- TD ngày 31/8/2023; Quy chế số 1546/QC-HĐTV-TD ngày 27/12/2024 của Hội đồng thành viên về việc sửa đổi, bổ sung một số điều của Quy chế số 656/QC-HĐTV- TD ngày 31/8/2023;</w:t>
      </w:r>
      <w:r/>
    </w:p>
    <w:p w14:paraId="784954AC">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 xml:space="preserve">Căn cứ Quy định số 2268/QyĐ-NHNo-TD ngày 19/9/2023 của Tổng Giám đốc về quy định cho vay đối với khách hàng trong hệ thống Agribank; quy định số 4466/QyĐ-NHNo-TD ngày 31/12/2024 của Tổng Giám đốc về việc sửa đổi bổ sung một số điều của Quy định số 2268/QyĐ</w:t>
      </w:r>
      <w:r>
        <w:rPr>
          <w:rFonts w:ascii="Times New Roman" w:hAnsi="Times New Roman" w:eastAsia="Times New Roman" w:cs="Times New Roman"/>
          <w:i/>
          <w:color w:val="000000"/>
          <w:sz w:val="26"/>
        </w:rPr>
        <w:t xml:space="preserve">-NHNo-TD ngày 19/9/2023; Quy định số 1799/QC-HĐTV-TD ngày 27/6/2025 của Tổng giám đốc về việc sửa đổi, bổ sung một số điều của Quy định số 2268/QyĐ-NHNo-TD ngày 19/9/2023;</w:t>
      </w:r>
      <w:r/>
    </w:p>
    <w:p w14:paraId="3CA91795">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ab/>
        <w:t xml:space="preserve">Căn cứ Quy định số 996/QyĐ-HĐTV-TD ngày 29/8/2024 của Hội đồng thành viên Agribank về thẩm quyền cấp tín dụng trong hệ thống Agribank;Căn cứ Quyết định số 4199/QyĐ-NHNo-TD ngày 11/12/2024 của Tổng giám đốc Agribank quy định một số nội dung về thẩm quyền c</w:t>
      </w:r>
      <w:r>
        <w:rPr>
          <w:rFonts w:ascii="Times New Roman" w:hAnsi="Times New Roman" w:eastAsia="Times New Roman" w:cs="Times New Roman"/>
          <w:i/>
          <w:color w:val="000000"/>
          <w:sz w:val="26"/>
        </w:rPr>
        <w:t xml:space="preserve">ấp tín dụng trong hệ thống Agribank; Thông báo số 20222/NHNo-TD ngày 31/12/2024 của Tổng giám đốc Agribank về thẩm quyền cấp tín dụng năm 2025; Thông báo số 2697/NHNo.LĐ-TĐ ngày 31/12/2024 của Giám đốc Agribank chi nhánh tỉnh Lâm Đồng về thẩm quyền cấp tín</w:t>
      </w:r>
      <w:r>
        <w:rPr>
          <w:rFonts w:ascii="Times New Roman" w:hAnsi="Times New Roman" w:eastAsia="Times New Roman" w:cs="Times New Roman"/>
          <w:i/>
          <w:color w:val="000000"/>
          <w:sz w:val="26"/>
        </w:rPr>
        <w:t xml:space="preserve"> dụng năm 2025 của các đơn vị trực thuộc;</w:t>
      </w:r>
      <w:r/>
    </w:p>
    <w:p>
      <w:pPr>
        <w:pBdr/>
        <w:spacing/>
        <w:ind w:right="0" w:firstLine="540" w:left="0"/>
        <w:jc w:val="both"/>
        <w:rPr>
          <w:rFonts w:eastAsia="Calibri"/>
          <w:bCs/>
          <w:i/>
          <w:sz w:val="26"/>
          <w:szCs w:val="26"/>
        </w:rPr>
      </w:pPr>
      <w:r>
        <w:rPr>
          <w:rFonts w:ascii="Times New Roman" w:hAnsi="Times New Roman" w:eastAsia="Times New Roman" w:cs="Times New Roman"/>
          <w:i/>
          <w:color w:val="000000"/>
          <w:sz w:val="26"/>
        </w:rPr>
        <w:tab/>
        <w:t xml:space="preserve">Căn cứ vào hồ sơ vay vốn của khách hàng.</w:t>
      </w:r>
      <w:r>
        <w:rPr>
          <w:rFonts w:eastAsia="Calibri"/>
          <w:bCs/>
          <w:i/>
          <w:sz w:val="26"/>
          <w:szCs w:val="26"/>
        </w:rPr>
      </w:r>
      <w:r>
        <w:rPr>
          <w:rFonts w:eastAsia="Calibri"/>
          <w:bCs/>
          <w:i/>
          <w:sz w:val="26"/>
          <w:szCs w:val="26"/>
        </w:rPr>
      </w:r>
    </w:p>
    <w:p>
      <w:pPr>
        <w:pBdr/>
        <w:spacing w:before="120"/>
        <w:ind w:firstLine="567"/>
        <w:jc w:val="both"/>
        <w:rPr>
          <w:rFonts w:eastAsia="Calibri"/>
          <w:b/>
          <w:sz w:val="26"/>
          <w:szCs w:val="26"/>
        </w:rPr>
      </w:pPr>
      <w:r>
        <w:rPr>
          <w:b/>
          <w:bCs/>
          <w:sz w:val="26"/>
          <w:szCs w:val="26"/>
        </w:rPr>
        <w:t xml:space="preserve">Phần A. BÁO CÁO ĐÁNH GIÁ HỒ SƠ VÀ ĐỀ XUẤT CHO VAY CỦA NGƯỜI QUAN HỆ KHÁCH HÀNG</w:t>
      </w:r>
      <w:r>
        <w:rPr>
          <w:rFonts w:eastAsia="Calibri"/>
          <w:b/>
          <w:sz w:val="26"/>
          <w:szCs w:val="26"/>
        </w:rPr>
      </w:r>
      <w:r>
        <w:rPr>
          <w:rFonts w:eastAsia="Calibri"/>
          <w:b/>
          <w:sz w:val="26"/>
          <w:szCs w:val="26"/>
        </w:rPr>
      </w:r>
    </w:p>
    <w:p>
      <w:pPr>
        <w:pBdr/>
        <w:spacing/>
        <w:ind w:firstLine="567"/>
        <w:jc w:val="both"/>
        <w:rPr>
          <w:rFonts w:eastAsia="Calibri"/>
          <w:b/>
          <w:bCs/>
          <w:sz w:val="26"/>
          <w:szCs w:val="26"/>
        </w:rPr>
      </w:pPr>
      <w:r>
        <w:rPr>
          <w:b/>
          <w:bCs/>
          <w:sz w:val="26"/>
          <w:szCs w:val="26"/>
        </w:rPr>
        <w:t xml:space="preserve">I. Thông tin chung của khách hàng</w:t>
      </w:r>
      <w:r>
        <w:rPr>
          <w:rFonts w:eastAsia="Calibri"/>
          <w:b/>
          <w:bCs/>
          <w:sz w:val="26"/>
          <w:szCs w:val="26"/>
        </w:rPr>
      </w:r>
      <w:r>
        <w:rPr>
          <w:rFonts w:eastAsia="Calibri"/>
          <w:b/>
          <w:bCs/>
          <w:sz w:val="26"/>
          <w:szCs w:val="26"/>
        </w:rPr>
      </w:r>
    </w:p>
    <w:p>
      <w:pPr>
        <w:pBdr/>
        <w:spacing/>
        <w:ind w:firstLine="567"/>
        <w:jc w:val="both"/>
        <w:rPr>
          <w:rFonts w:eastAsia="Calibri"/>
          <w:b/>
          <w:bCs/>
          <w:sz w:val="26"/>
          <w:szCs w:val="26"/>
        </w:rPr>
      </w:pPr>
      <w:r>
        <w:rPr>
          <w:b/>
          <w:bCs/>
          <w:sz w:val="26"/>
          <w:szCs w:val="26"/>
        </w:rPr>
        <w:t xml:space="preserve">1. Giới thiệu về khách hàng</w:t>
      </w:r>
      <w:r>
        <w:rPr>
          <w:rFonts w:eastAsia="Calibri"/>
          <w:b/>
          <w:bCs/>
          <w:sz w:val="26"/>
          <w:szCs w:val="26"/>
        </w:rPr>
      </w:r>
      <w:r>
        <w:rPr>
          <w:rFonts w:eastAsia="Calibri"/>
          <w:b/>
          <w:bCs/>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Tên khách hàng</w:t>
            </w:r>
            <w:r>
              <w:rPr>
                <w:b/>
                <w:sz w:val="26"/>
                <w:szCs w:val="26"/>
              </w:rPr>
            </w:r>
            <w:r>
              <w:rPr>
                <w:b/>
                <w:sz w:val="26"/>
                <w:szCs w:val="26"/>
              </w:rPr>
            </w:r>
          </w:p>
        </w:tc>
        <w:tc>
          <w:tcPr>
            <w:gridSpan w:val="4"/>
            <w:tcBorders>
              <w:top w:val="single" w:color="auto" w:sz="4" w:space="0"/>
              <w:left w:val="single" w:color="auto" w:sz="4" w:space="0"/>
              <w:bottom w:val="single" w:color="auto" w:sz="4" w:space="0"/>
              <w:right w:val="single" w:color="auto" w:sz="4" w:space="0"/>
            </w:tcBorders>
            <w:tcW w:w="2083" w:type="pct"/>
            <w:vAlign w:val="center"/>
            <w:textDirection w:val="lrTb"/>
            <w:noWrap w:val="false"/>
          </w:tcPr>
          <w:p>
            <w:pPr>
              <w:pBdr/>
              <w:spacing/>
              <w:ind/>
              <w:rPr>
                <w:rFonts w:eastAsia="Calibri"/>
                <w:sz w:val="26"/>
                <w:szCs w:val="26"/>
              </w:rPr>
            </w:pPr>
            <w:r>
              <w:rPr>
                <w:sz w:val="26"/>
                <w:szCs w:val="26"/>
              </w:rPr>
            </w:r>
            <w:r>
              <w:rPr>
                <w:sz w:val="26"/>
                <w:szCs w:val="26"/>
              </w:rPr>
              <w:t xml:space="preserve">[Tên khách hàng]</w:t>
            </w:r>
            <w:r>
              <w:rPr>
                <w:rFonts w:eastAsia="Calibri"/>
                <w:sz w:val="26"/>
                <w:szCs w:val="26"/>
              </w:rPr>
            </w:r>
            <w:r>
              <w:rPr>
                <w:rFonts w:eastAsia="Calibri"/>
                <w:sz w:val="26"/>
                <w:szCs w:val="26"/>
              </w:rPr>
            </w:r>
          </w:p>
        </w:tc>
        <w:tc>
          <w:tcPr>
            <w:gridSpan w:val="3"/>
            <w:tcBorders>
              <w:top w:val="single" w:color="auto" w:sz="4" w:space="0"/>
              <w:left w:val="single" w:color="auto" w:sz="4" w:space="0"/>
              <w:bottom w:val="single" w:color="auto" w:sz="4" w:space="0"/>
              <w:right w:val="single" w:color="auto" w:sz="4" w:space="0"/>
            </w:tcBorders>
            <w:tcW w:w="1639" w:type="pct"/>
            <w:vAlign w:val="center"/>
            <w:textDirection w:val="lrTb"/>
            <w:noWrap w:val="false"/>
          </w:tcPr>
          <w:p>
            <w:pPr>
              <w:pBdr/>
              <w:spacing/>
              <w:ind/>
              <w:rPr>
                <w:i/>
                <w:sz w:val="26"/>
                <w:szCs w:val="26"/>
              </w:rPr>
            </w:pPr>
            <w:r>
              <w:rPr>
                <w:rFonts w:ascii="Times New Roman" w:hAnsi="Times New Roman" w:cs="Times New Roman"/>
                <w:b/>
                <w:bCs/>
                <w:i/>
                <w:iCs/>
                <w:sz w:val="26"/>
                <w:szCs w:val="26"/>
              </w:rPr>
              <w:t xml:space="preserve">Mã KH:</w:t>
            </w:r>
            <w:r>
              <w:rPr>
                <w:rFonts w:ascii="Times New Roman" w:hAnsi="Times New Roman" w:cs="Times New Roman"/>
                <w:i/>
                <w:iCs/>
                <w:sz w:val="26"/>
                <w:szCs w:val="26"/>
              </w:rPr>
              <w:t xml:space="preserve"> </w:t>
            </w:r>
            <w:r>
              <w:rPr>
                <w:rFonts w:ascii="Times New Roman" w:hAnsi="Times New Roman" w:cs="Times New Roman"/>
                <w:i/>
                <w:iCs/>
                <w:sz w:val="26"/>
                <w:szCs w:val="26"/>
              </w:rPr>
              <w:t xml:space="preserve">[Mã khách hàng]</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Địa chỉ</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14:paraId="5634585C">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[Địa chỉ]</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Lĩnh vực kinh doanh chính</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[Ngành nghề kinh doanh chính]</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điều lệ</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[Vốn điều lệ]</w:t>
            </w:r>
            <w:r>
              <w:rPr>
                <w:rFonts w:ascii="Times New Roman" w:hAnsi="Times New Roman" w:cs="Times New Roman"/>
                <w:sz w:val="26"/>
                <w:szCs w:val="26"/>
              </w:rPr>
              <w:t xml:space="preserve"> đồng</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Người đại diện theo pháp luật</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[Người đại diện pháp luật]</w:t>
            </w:r>
            <w:r>
              <w:rPr>
                <w:rFonts w:ascii="Times New Roman" w:hAnsi="Times New Roman" w:cs="Times New Roman"/>
                <w:sz w:val="26"/>
                <w:szCs w:val="26"/>
              </w:rPr>
              <w:t xml:space="preserve">. Chức vụ:</w:t>
            </w:r>
            <w:r>
              <w:rPr>
                <w:rFonts w:ascii="Times New Roman" w:hAnsi="Times New Roman" w:cs="Times New Roman"/>
                <w:sz w:val="26"/>
                <w:szCs w:val="26"/>
              </w:rPr>
              <w:t xml:space="preserve"> </w:t>
            </w:r>
            <w:r>
              <w:rPr>
                <w:rFonts w:ascii="Times New Roman" w:hAnsi="Times New Roman" w:cs="Times New Roman"/>
                <w:sz w:val="26"/>
                <w:szCs w:val="26"/>
              </w:rPr>
              <w:t xml:space="preserve">[Chức vụ người đại diện]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Hình thức sở hữu</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[Loại hình tổ chức]</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sz w:val="26"/>
                <w:szCs w:val="26"/>
              </w:rPr>
            </w:pPr>
            <w:r>
              <w:rPr>
                <w:rFonts w:ascii="Times New Roman" w:hAnsi="Times New Roman" w:cs="Times New Roman"/>
                <w:b/>
                <w:bCs/>
                <w:sz w:val="26"/>
                <w:szCs w:val="26"/>
              </w:rPr>
              <w:t xml:space="preserve">Mã cổ phiếu</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OTC</w:t>
            </w:r>
            <w:r>
              <w:rPr>
                <w:rFonts w:eastAsia="Calibri"/>
                <w:sz w:val="26"/>
                <w:szCs w:val="26"/>
              </w:rPr>
            </w:r>
            <w:r>
              <w:rPr>
                <w:rFonts w:eastAsia="Calibri"/>
                <w:sz w:val="26"/>
                <w:szCs w:val="26"/>
              </w:rPr>
            </w:r>
          </w:p>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HASTC</w:t>
            </w:r>
            <w:r>
              <w:rPr>
                <w:rFonts w:eastAsia="Calibri"/>
                <w:sz w:val="26"/>
                <w:szCs w:val="26"/>
              </w:rPr>
            </w:r>
            <w:r>
              <w:rPr>
                <w:rFonts w:eastAsia="Calibri"/>
                <w:sz w:val="26"/>
                <w:szCs w:val="26"/>
              </w:rPr>
            </w:r>
          </w:p>
          <w:p>
            <w:pPr>
              <w:pBdr/>
              <w:spacing/>
              <w:ind/>
              <w:rPr>
                <w:sz w:val="26"/>
                <w:szCs w:val="26"/>
              </w:rPr>
            </w:pPr>
            <w:r/>
            <w:sdt>
              <w:sdtPr>
                <w15:appearance w15:val="boundingBox"/>
                <w:rPr/>
              </w:sdtPr>
              <w:sdtContent>
                <w:r>
                  <w:rPr>
                    <w:rFonts w:ascii="MS Gothic" w:hAnsi="MS Gothic" w:cs="MS Gothic"/>
                    <w:sz w:val="26"/>
                    <w:szCs w:val="26"/>
                  </w:rPr>
                  <w:t xml:space="preserve">☐</w:t>
                </w:r>
              </w:sdtContent>
            </w:sdt>
            <w:r>
              <w:rPr>
                <w:rFonts w:ascii="Times New Roman" w:hAnsi="Times New Roman" w:cs="Times New Roman"/>
                <w:sz w:val="26"/>
                <w:szCs w:val="26"/>
              </w:rPr>
              <w:t xml:space="preserve">HOSE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Tổng tài sản đến 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[Tổng tài sản kỳ gần nhất]</w:t>
            </w:r>
            <w:r>
              <w:rPr>
                <w:rFonts w:ascii="Times New Roman" w:hAnsi="Times New Roman" w:cs="Times New Roman"/>
                <w:sz w:val="26"/>
                <w:szCs w:val="26"/>
              </w:rPr>
              <w:t xml:space="preserve"> đồng</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Báo cáo tài chính</w:t>
            </w:r>
            <w:r>
              <w:rPr>
                <w:b/>
                <w:sz w:val="26"/>
                <w:szCs w:val="26"/>
              </w:rPr>
            </w:r>
            <w:r>
              <w:rPr>
                <w:b/>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Đã kiểm toán</w:t>
            </w:r>
            <w:r>
              <w:rPr>
                <w:rFonts w:eastAsia="Calibri"/>
                <w:sz w:val="26"/>
                <w:szCs w:val="26"/>
              </w:rPr>
            </w:r>
            <w:r>
              <w:rPr>
                <w:rFonts w:eastAsia="Calibri"/>
                <w:sz w:val="26"/>
                <w:szCs w:val="26"/>
              </w:rPr>
            </w:r>
          </w:p>
          <w:p>
            <w:pPr>
              <w:pBdr/>
              <w:spacing/>
              <w:ind/>
              <w:rPr>
                <w:i/>
                <w:sz w:val="26"/>
                <w:szCs w:val="26"/>
              </w:rPr>
            </w:pPr>
            <w:r/>
            <w:sdt>
              <w:sdtPr>
                <w15:appearance w15:val="boundingBox"/>
                <w:rPr/>
              </w:sdtPr>
              <w:sdtContent>
                <w:r>
                  <w:rPr>
                    <w:rFonts w:ascii="MS Gothic" w:hAnsi="MS Gothic" w:cs="MS Gothic"/>
                    <w:i/>
                    <w:iCs/>
                    <w:sz w:val="26"/>
                    <w:szCs w:val="26"/>
                  </w:rPr>
                  <w:t xml:space="preserve">☒</w:t>
                </w:r>
              </w:sdtContent>
            </w:sdt>
            <w:r>
              <w:rPr>
                <w:rFonts w:ascii="Times New Roman" w:hAnsi="Times New Roman" w:cs="Times New Roman"/>
                <w:i/>
                <w:iCs/>
                <w:sz w:val="26"/>
                <w:szCs w:val="26"/>
              </w:rPr>
              <w:t xml:space="preserve">Chưa kiểm toán</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Chủ sở hữu đến</w:t>
            </w:r>
            <w:r>
              <w:rPr>
                <w:b/>
                <w:sz w:val="26"/>
                <w:szCs w:val="26"/>
              </w:rPr>
            </w:r>
            <w:r>
              <w:rPr>
                <w:b/>
                <w:sz w:val="26"/>
                <w:szCs w:val="26"/>
              </w:rPr>
            </w:r>
          </w:p>
          <w:p>
            <w:pPr>
              <w:pBdr/>
              <w:spacing/>
              <w:ind/>
              <w:rPr>
                <w:b/>
                <w:sz w:val="26"/>
                <w:szCs w:val="26"/>
              </w:rPr>
            </w:pPr>
            <w:r>
              <w:rPr>
                <w:rFonts w:ascii="Times New Roman" w:hAnsi="Times New Roman" w:cs="Times New Roman"/>
                <w:b/>
                <w:bCs/>
                <w:sz w:val="26"/>
                <w:szCs w:val="26"/>
              </w:rPr>
              <w:t xml:space="preserve">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[Vốn chủ sở hữu kỳ gần nhất]</w:t>
            </w:r>
            <w:r>
              <w:rPr>
                <w:rFonts w:ascii="Times New Roman" w:hAnsi="Times New Roman" w:cs="Times New Roman"/>
                <w:sz w:val="26"/>
                <w:szCs w:val="26"/>
              </w:rPr>
              <w:t xml:space="preserve"> đồng</w:t>
            </w:r>
            <w:r>
              <w:rPr>
                <w:sz w:val="26"/>
                <w:szCs w:val="26"/>
              </w:rPr>
            </w:r>
            <w:r>
              <w:rPr>
                <w:sz w:val="26"/>
                <w:szCs w:val="26"/>
              </w:rP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Đang quan hệ tín dụng tại TCTD</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[custom.thong_tin_tin_dung_tai_agribank.td_du_no_trung_dai_han_tai_agribank]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KQ phân loại nợ gần nhất</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[custom.thong_tin_tin_dung_tai_agribank.td_nhom_no_tai_agribank]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Xếp hạng tín dụng</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 Theo Agribank:</w:t>
            </w:r>
            <w:r>
              <w:rPr>
                <w:rFonts w:ascii="Times New Roman" w:hAnsi="Times New Roman" w:cs="Times New Roman"/>
                <w:b/>
                <w:bCs/>
                <w:sz w:val="26"/>
                <w:szCs w:val="26"/>
              </w:rPr>
              <w:t xml:space="preserve"> </w:t>
            </w:r>
            <w:r>
              <w:rPr>
                <w:sz w:val="26"/>
                <w:szCs w:val="26"/>
              </w:rPr>
              <w:t xml:space="preserve">[Xếp hạng tại Agribank]</w:t>
            </w:r>
            <w:r>
              <w:rPr>
                <w:sz w:val="26"/>
                <w:szCs w:val="26"/>
              </w:rPr>
            </w:r>
            <w:r>
              <w:rPr>
                <w:sz w:val="26"/>
                <w:szCs w:val="26"/>
              </w:rPr>
            </w:r>
          </w:p>
        </w:tc>
      </w:tr>
      <w:tr>
        <w:trPr/>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ight="0" w:firstLine="2520" w:left="0"/>
              <w:rPr>
                <w:sz w:val="26"/>
                <w:szCs w:val="26"/>
              </w:rPr>
            </w:pPr>
            <w:r>
              <w:rPr>
                <w:rFonts w:ascii="Times New Roman" w:hAnsi="Times New Roman" w:cs="Times New Roman"/>
                <w:sz w:val="26"/>
                <w:szCs w:val="26"/>
              </w:rPr>
              <w:t xml:space="preserve">- Theo CIC - NHNN: </w:t>
            </w:r>
            <w:r>
              <w:rPr>
                <w:rFonts w:ascii="Times New Roman" w:hAnsi="Times New Roman" w:cs="Times New Roman"/>
                <w:sz w:val="26"/>
                <w:szCs w:val="26"/>
              </w:rPr>
              <w:t xml:space="preserve">[Xếp hạng CIC]</w:t>
            </w:r>
            <w:r>
              <w:rPr>
                <w:sz w:val="26"/>
                <w:szCs w:val="26"/>
              </w:rPr>
            </w:r>
            <w:r>
              <w:rPr>
                <w:sz w:val="26"/>
                <w:szCs w:val="26"/>
              </w:rP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Khoản vay trung dài hạn đã được phê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Cấp phê duyệt</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HMTD đã được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duyệt/ngày quyết định cho vay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Bởi ai phê duyệt (TB, QĐ phê duyệt)</w:t>
            </w:r>
            <w:r>
              <w:rPr>
                <w:sz w:val="26"/>
                <w:szCs w:val="26"/>
              </w:rPr>
            </w:r>
            <w:r>
              <w:rPr>
                <w:sz w:val="26"/>
                <w:szCs w:val="26"/>
              </w:rPr>
            </w:r>
          </w:p>
          <w:p>
            <w:pPr>
              <w:pBdr/>
              <w:spacing/>
              <w:ind w:right="317"/>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r>
    </w:tbl>
    <w:p>
      <w:pPr>
        <w:pBdr/>
        <w:spacing/>
        <w:ind w:firstLine="567"/>
        <w:jc w:val="both"/>
        <w:rPr>
          <w:rFonts w:eastAsia="Calibri"/>
          <w:b/>
          <w:sz w:val="26"/>
          <w:szCs w:val="26"/>
        </w:rPr>
      </w:pPr>
      <w:r>
        <w:rPr>
          <w:b/>
          <w:bCs/>
          <w:sz w:val="26"/>
          <w:szCs w:val="26"/>
        </w:rPr>
        <w:t xml:space="preserve">2. Thông tin hoạt động kinh doanh của khách hàng</w:t>
      </w:r>
      <w:r>
        <w:rPr>
          <w:rFonts w:eastAsia="Calibri"/>
          <w:b/>
          <w:sz w:val="26"/>
          <w:szCs w:val="26"/>
        </w:rPr>
      </w:r>
      <w:r>
        <w:rPr>
          <w:rFonts w:eastAsia="Calibri"/>
          <w:b/>
          <w:sz w:val="26"/>
          <w:szCs w:val="26"/>
        </w:rPr>
      </w:r>
    </w:p>
    <w:p>
      <w:pPr>
        <w:pBdr/>
        <w:spacing/>
        <w:ind w:firstLine="567"/>
        <w:jc w:val="both"/>
        <w:rPr>
          <w:rFonts w:eastAsia="Calibri"/>
          <w:sz w:val="26"/>
          <w:szCs w:val="26"/>
        </w:rPr>
      </w:pPr>
      <w:r>
        <w:rPr>
          <w:sz w:val="26"/>
          <w:szCs w:val="26"/>
        </w:rPr>
        <w:t xml:space="preserve">Thông tin chung về ngành nghề, hoạt động kinh doanh của khách hàng: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Lịch sử hình thành: [Tên khách hàng] được thành lập từ năm ... hoạt động trong lĩnh vực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Sản phẩm, dịch vụ của [Tên khách hàng] là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Thị trường chủ yếu của [Tên khách hàng] là ...</w:t>
      </w:r>
      <w:r>
        <w:rPr>
          <w:rFonts w:eastAsia="Calibri"/>
          <w:sz w:val="26"/>
          <w:szCs w:val="26"/>
        </w:rPr>
      </w:r>
      <w:r>
        <w:rPr>
          <w:rFonts w:eastAsia="Calibri"/>
          <w:sz w:val="26"/>
          <w:szCs w:val="26"/>
        </w:rPr>
      </w:r>
    </w:p>
    <w:p>
      <w:pPr>
        <w:pBdr/>
        <w:spacing/>
        <w:ind w:firstLine="567"/>
        <w:jc w:val="both"/>
        <w:rPr>
          <w:rFonts w:eastAsia="Calibri"/>
          <w:sz w:val="26"/>
          <w:szCs w:val="26"/>
          <w:highlight w:val="none"/>
        </w:rPr>
      </w:pPr>
      <w:r>
        <w:rPr>
          <w:sz w:val="26"/>
          <w:szCs w:val="26"/>
        </w:rPr>
        <w:t xml:space="preserve">- Kênh phân phối sản phẩm: hiện [Tên khách hàng] có hệ thống đại lý ....</w:t>
      </w:r>
      <w:r>
        <w:rPr>
          <w:rFonts w:eastAsia="Calibri"/>
          <w:sz w:val="26"/>
          <w:szCs w:val="26"/>
          <w:highlight w:val="none"/>
        </w:rPr>
      </w:r>
      <w:r>
        <w:rPr>
          <w:rFonts w:eastAsia="Calibri"/>
          <w:sz w:val="26"/>
          <w:szCs w:val="26"/>
          <w:highlight w:val="none"/>
        </w:rPr>
      </w:r>
    </w:p>
    <w:p w14:paraId="72F9E822">
      <w:pPr>
        <w:pBdr/>
        <w:spacing/>
        <w:ind w:firstLine="567"/>
        <w:jc w:val="both"/>
        <w:rPr>
          <w:sz w:val="26"/>
          <w:szCs w:val="26"/>
          <w:highlight w:val="none"/>
        </w:rPr>
      </w:pPr>
      <w:r>
        <w:rPr>
          <w:sz w:val="26"/>
          <w:szCs w:val="26"/>
        </w:rPr>
        <w:t xml:space="preserve">- Kết quả kinh doanh, doanh thu, lợi nhuận trong 3 năm liền kề:</w:t>
      </w:r>
      <w:r>
        <w:rPr>
          <w:sz w:val="26"/>
          <w:szCs w:val="26"/>
          <w:highlight w:val="none"/>
        </w:rPr>
      </w:r>
      <w:r>
        <w:rPr>
          <w:sz w:val="26"/>
          <w:szCs w:val="26"/>
          <w:highlight w:val="none"/>
        </w:rPr>
      </w:r>
    </w:p>
    <w:p w14:paraId="68AD2F5D">
      <w:pPr>
        <w:pBdr/>
        <w:spacing/>
        <w:ind w:firstLine="567"/>
        <w:jc w:val="right"/>
        <w:rPr>
          <w:sz w:val="26"/>
          <w:szCs w:val="26"/>
          <w:highlight w:val="none"/>
        </w:rPr>
      </w:pPr>
      <w:r>
        <w:rPr>
          <w:sz w:val="26"/>
          <w:szCs w:val="26"/>
          <w:highlight w:val="none"/>
        </w:rPr>
        <w:t xml:space="preserve">Đơn vị: triệu đồng</w:t>
      </w:r>
      <w:r>
        <w:rPr>
          <w:sz w:val="26"/>
          <w:szCs w:val="26"/>
          <w:highlight w:val="none"/>
        </w:rPr>
      </w:r>
      <w:r>
        <w:rPr>
          <w:sz w:val="26"/>
          <w:szCs w:val="26"/>
          <w:highlight w:val="none"/>
        </w:rPr>
      </w:r>
    </w:p>
    <w:tbl>
      <w:tblPr>
        <w:tblStyle w:val="974"/>
        <w:tblInd w:w="0" w:type="dxa"/>
        <w:tblW w:w="5000" w:type="pct"/>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241"/>
        <w:gridCol w:w="2118"/>
        <w:gridCol w:w="2615"/>
        <w:gridCol w:w="2055"/>
        <w:gridCol w:w="1825"/>
      </w:tblGrid>
      <w:tr>
        <w:trPr>
          <w:trHeight w:val="73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41" w:type="dxa"/>
            <w:vAlign w:val="center"/>
            <w:textDirection w:val="lrTb"/>
            <w:noWrap/>
          </w:tcPr>
          <w:p w14:paraId="45FAB656">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Năm</w:t>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18" w:type="dxa"/>
            <w:vAlign w:val="center"/>
            <w:textDirection w:val="lrTb"/>
            <w:noWrap w:val="false"/>
          </w:tcPr>
          <w:p w14:paraId="271FCE97">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Doanh thu thuần về bán hàng và cung cấp dịch vụ</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15" w:type="dxa"/>
            <w:vAlign w:val="center"/>
            <w:textDirection w:val="lrTb"/>
            <w:noWrap w:val="false"/>
          </w:tcPr>
          <w:p w14:paraId="630F5064">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gộp về bán hàng và cung cấp dịch vụ</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5" w:type="dxa"/>
            <w:vAlign w:val="center"/>
            <w:textDirection w:val="lrTb"/>
            <w:noWrap w:val="false"/>
          </w:tcPr>
          <w:p w14:paraId="329D8AC7">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thuần từ hoạt động kinh doanh</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25" w:type="dxa"/>
            <w:vAlign w:val="center"/>
            <w:textDirection w:val="lrTb"/>
            <w:noWrap w:val="false"/>
          </w:tcPr>
          <w:p w14:paraId="55311AE5">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sau thuế</w:t>
            </w:r>
            <w:r>
              <w:rPr>
                <w:b/>
                <w:bCs/>
                <w:sz w:val="24"/>
                <w:szCs w:val="24"/>
              </w:rPr>
            </w:r>
            <w:r>
              <w:rPr>
                <w:b/>
                <w:bCs/>
                <w:sz w:val="24"/>
                <w:szCs w:val="24"/>
              </w:rPr>
            </w:r>
          </w:p>
        </w:tc>
      </w:tr>
      <w:tr>
        <w:trPr>
          <w:trHeight w:val="1623"/>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41" w:type="dxa"/>
            <w:vAlign w:val="center"/>
            <w:textDirection w:val="lrTb"/>
            <w:noWrap/>
          </w:tcPr>
          <w:p w14:paraId="5D48DCFC">
            <w:pPr>
              <w:pBdr>
                <w:top w:val="none" w:color="000000" w:sz="4" w:space="0"/>
                <w:left w:val="none" w:color="000000" w:sz="4" w:space="0"/>
                <w:bottom w:val="none" w:color="000000" w:sz="4" w:space="0"/>
                <w:right w:val="none" w:color="000000" w:sz="4" w:space="0"/>
              </w:pBdr>
              <w:spacing/>
              <w:ind w:right="0" w:firstLine="0" w:left="0"/>
              <w:jc w:val="center"/>
              <w:rPr>
                <w:sz w:val="24"/>
                <w:szCs w:val="24"/>
              </w:rPr>
            </w:pPr>
            <w:r>
              <w:rPr>
                <w:rFonts w:ascii="Times New Roman" w:hAnsi="Times New Roman" w:eastAsia="Times New Roman" w:cs="Times New Roman"/>
                <w:color w:val="000000"/>
                <w:sz w:val="24"/>
                <w:szCs w:val="24"/>
              </w:rPr>
              <w:t xml:space="preserve">[#Thôn tin chung/Kết quả kinh doanh][Năm]</w:t>
            </w:r>
            <w:r>
              <w:rPr>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18" w:type="dxa"/>
            <w:vAlign w:val="center"/>
            <w:textDirection w:val="lrTb"/>
            <w:noWrap w:val="false"/>
          </w:tcPr>
          <w:p w14:paraId="2E2FC3FA">
            <w:pPr>
              <w:pBdr/>
              <w:spacing/>
              <w:ind/>
              <w:rPr/>
            </w:pPr>
            <w:r/>
            <w:r>
              <w:t xml:space="preserve">[Doanh thu thuần về bán hàng và cung cấp dịch vụ]</w:t>
            </w: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15" w:type="dxa"/>
            <w:vAlign w:val="center"/>
            <w:textDirection w:val="lrTb"/>
            <w:noWrap w:val="false"/>
          </w:tcPr>
          <w:p w14:paraId="7912C253">
            <w:pPr>
              <w:pBdr/>
              <w:spacing/>
              <w:ind/>
              <w:rPr/>
            </w:pPr>
            <w:r/>
            <w:r>
              <w:t xml:space="preserve">[Lợi nhuận gộp về bán hàng và cung cấp dịch vụ]</w:t>
            </w: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5" w:type="dxa"/>
            <w:vAlign w:val="center"/>
            <w:textDirection w:val="lrTb"/>
            <w:noWrap w:val="false"/>
          </w:tcPr>
          <w:p w14:paraId="0EFF0EB3">
            <w:pPr>
              <w:pBdr/>
              <w:spacing/>
              <w:ind/>
              <w:rPr/>
            </w:pPr>
            <w:r/>
            <w:r>
              <w:t xml:space="preserve">[Lợi nhuận thuần từ hoạt động kinh doanh]</w:t>
            </w:r>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25" w:type="dxa"/>
            <w:vAlign w:val="center"/>
            <w:textDirection w:val="lrTb"/>
            <w:noWrap w:val="false"/>
          </w:tcPr>
          <w:p w14:paraId="5D57542D">
            <w:pPr>
              <w:pBdr/>
              <w:spacing/>
              <w:ind/>
              <w:rPr/>
            </w:pPr>
            <w:r/>
            <w:r>
              <w:t xml:space="preserve">[Lợi nhuận sau thuế]</w:t>
            </w:r>
            <w:r>
              <w:rPr>
                <w:rFonts w:ascii="Times New Roman" w:hAnsi="Times New Roman" w:eastAsia="Times New Roman" w:cs="Times New Roman"/>
                <w:color w:val="000000"/>
                <w:sz w:val="24"/>
                <w:szCs w:val="24"/>
              </w:rPr>
              <w:t xml:space="preserve">[/Thôn tin chung/Kết quả kinh doanh]</w:t>
            </w:r>
            <w:r/>
            <w:r/>
            <w:r/>
          </w:p>
        </w:tc>
      </w:tr>
    </w:tbl>
    <w:p w14:paraId="0CE4BAD2">
      <w:pPr>
        <w:pBdr/>
        <w:spacing/>
        <w:ind w:firstLine="567"/>
        <w:jc w:val="both"/>
        <w:rPr>
          <w:rFonts w:eastAsia="Calibri"/>
          <w:sz w:val="26"/>
          <w:szCs w:val="26"/>
        </w:rPr>
      </w:pPr>
      <w:r>
        <w:rPr>
          <w:sz w:val="26"/>
          <w:szCs w:val="26"/>
          <w:highlight w:val="none"/>
        </w:rPr>
      </w:r>
      <w:r>
        <w:rPr>
          <w:sz w:val="26"/>
          <w:szCs w:val="26"/>
          <w:highlight w:val="none"/>
        </w:rPr>
      </w:r>
      <w:r>
        <w:rPr>
          <w:rFonts w:eastAsia="Calibri"/>
          <w:sz w:val="26"/>
          <w:szCs w:val="26"/>
        </w:rPr>
      </w:r>
    </w:p>
    <w:p>
      <w:pPr>
        <w:pBdr/>
        <w:spacing/>
        <w:ind w:firstLine="567"/>
        <w:contextualSpacing w:val="true"/>
        <w:jc w:val="both"/>
        <w:rPr>
          <w:sz w:val="26"/>
          <w:szCs w:val="26"/>
        </w:rPr>
      </w:pPr>
      <w:r>
        <w:rPr>
          <w:rFonts w:ascii="Times New Roman" w:hAnsi="Times New Roman" w:cs="Times New Roman"/>
          <w:b/>
          <w:bCs/>
          <w:sz w:val="26"/>
          <w:szCs w:val="26"/>
        </w:rPr>
        <w:t xml:space="preserve">II. Kiểm tra đánh giá về bộ hồ sơ vay vốn</w:t>
      </w:r>
      <w:r>
        <w:rPr>
          <w:sz w:val="26"/>
          <w:szCs w:val="26"/>
        </w:rPr>
      </w:r>
      <w:r>
        <w:rPr>
          <w:sz w:val="26"/>
          <w:szCs w:val="26"/>
        </w:rPr>
      </w:r>
    </w:p>
    <w:p>
      <w:pPr>
        <w:pBdr/>
        <w:tabs>
          <w:tab w:val="left" w:leader="none" w:pos="851"/>
        </w:tabs>
        <w:spacing/>
        <w:ind w:firstLine="567"/>
        <w:jc w:val="both"/>
        <w:rPr>
          <w:rFonts w:eastAsia="Calibri"/>
          <w:sz w:val="26"/>
          <w:szCs w:val="26"/>
        </w:rPr>
      </w:pPr>
      <w:r>
        <w:rPr>
          <w:b/>
          <w:bCs/>
          <w:sz w:val="26"/>
          <w:szCs w:val="26"/>
        </w:rPr>
        <w:t xml:space="preserve">1. Hồ sơ vay vốn: </w:t>
      </w:r>
      <w:r>
        <w:rPr>
          <w:sz w:val="26"/>
          <w:szCs w:val="26"/>
        </w:rPr>
        <w:t xml:space="preserve">Phụ lục Danh mục bộ hồ sơ vay vốn đính kèm.</w:t>
      </w:r>
      <w:r>
        <w:rPr>
          <w:rFonts w:eastAsia="Calibri"/>
          <w:sz w:val="26"/>
          <w:szCs w:val="26"/>
        </w:rPr>
      </w:r>
      <w:r>
        <w:rPr>
          <w:rFonts w:eastAsia="Calibri"/>
          <w:sz w:val="26"/>
          <w:szCs w:val="26"/>
        </w:rPr>
      </w:r>
    </w:p>
    <w:p>
      <w:pPr>
        <w:pBdr/>
        <w:tabs>
          <w:tab w:val="left" w:leader="none" w:pos="851"/>
        </w:tabs>
        <w:spacing/>
        <w:ind w:firstLine="567"/>
        <w:jc w:val="both"/>
        <w:rPr>
          <w:rFonts w:eastAsia="Calibri"/>
          <w:sz w:val="26"/>
          <w:szCs w:val="26"/>
        </w:rPr>
      </w:pPr>
      <w:r>
        <w:rPr>
          <w:b/>
          <w:bCs/>
          <w:sz w:val="26"/>
          <w:szCs w:val="26"/>
        </w:rPr>
        <w:t xml:space="preserve">2. Đánh giá bộ hồ sơ vay vốn:</w:t>
      </w:r>
      <w:r>
        <w:rPr>
          <w:sz w:val="26"/>
          <w:szCs w:val="26"/>
        </w:rPr>
        <w:t xml:space="preserve"> Hồ sơ vay vốn của Khách hàng đầy đủ, hợp lệ, hợp pháp theo quy định để tiến hành thẩm định</w:t>
      </w:r>
      <w:r>
        <w:rPr>
          <w:rFonts w:eastAsia="Calibri"/>
          <w:sz w:val="26"/>
          <w:szCs w:val="26"/>
        </w:rPr>
      </w:r>
      <w:r>
        <w:rPr>
          <w:rFonts w:eastAsia="Calibri"/>
          <w:sz w:val="26"/>
          <w:szCs w:val="26"/>
        </w:rPr>
      </w:r>
    </w:p>
    <w:p>
      <w:pPr>
        <w:pBdr/>
        <w:tabs>
          <w:tab w:val="left" w:leader="none" w:pos="8640"/>
        </w:tabs>
        <w:spacing/>
        <w:ind w:firstLine="567"/>
        <w:jc w:val="both"/>
        <w:rPr>
          <w:rFonts w:eastAsia="Calibri"/>
          <w:b/>
          <w:bCs/>
          <w:sz w:val="26"/>
          <w:szCs w:val="26"/>
        </w:rPr>
      </w:pPr>
      <w:r>
        <w:rPr>
          <w:b/>
          <w:bCs/>
          <w:sz w:val="26"/>
          <w:szCs w:val="26"/>
        </w:rPr>
        <w:t xml:space="preserve">III. Đánh giá năng lực pháp luật dân sự, năng lực hành vi dân sự, năng lực điều hành và quản lý sản xuất kinh doanh của khách hàng.</w:t>
      </w:r>
      <w:r>
        <w:rPr>
          <w:rFonts w:eastAsia="Calibri"/>
          <w:b/>
          <w:bCs/>
          <w:sz w:val="26"/>
          <w:szCs w:val="26"/>
        </w:rPr>
      </w:r>
      <w:r>
        <w:rPr>
          <w:rFonts w:eastAsia="Calibri"/>
          <w:b/>
          <w:bCs/>
          <w:sz w:val="26"/>
          <w:szCs w:val="26"/>
        </w:rPr>
      </w:r>
    </w:p>
    <w:p>
      <w:pPr>
        <w:pBdr/>
        <w:tabs>
          <w:tab w:val="left" w:leader="none" w:pos="8640"/>
        </w:tabs>
        <w:spacing/>
        <w:ind w:firstLine="567"/>
        <w:jc w:val="both"/>
        <w:rPr>
          <w:rFonts w:eastAsia="Calibri"/>
          <w:b/>
          <w:bCs/>
          <w:sz w:val="26"/>
          <w:szCs w:val="26"/>
        </w:rPr>
      </w:pPr>
      <w:r>
        <w:rPr>
          <w:b/>
          <w:bCs/>
          <w:sz w:val="26"/>
          <w:szCs w:val="26"/>
        </w:rPr>
        <w:t xml:space="preserve">1. Đánh giá năng lực pháp luật dân sự, năng lực hành vi dân sự</w:t>
      </w:r>
      <w:r>
        <w:rPr>
          <w:rFonts w:eastAsia="Calibri"/>
          <w:b/>
          <w:bCs/>
          <w:sz w:val="26"/>
          <w:szCs w:val="26"/>
        </w:rPr>
      </w:r>
      <w:r>
        <w:rPr>
          <w:rFonts w:eastAsia="Calibri"/>
          <w:b/>
          <w:bCs/>
          <w:sz w:val="26"/>
          <w:szCs w:val="26"/>
        </w:rPr>
      </w:r>
    </w:p>
    <w:p>
      <w:pPr>
        <w:pBdr/>
        <w:spacing/>
        <w:ind w:firstLine="567"/>
        <w:jc w:val="both"/>
        <w:rPr>
          <w:rFonts w:eastAsia="Calibri"/>
          <w:bCs/>
          <w:sz w:val="26"/>
          <w:szCs w:val="26"/>
        </w:rPr>
      </w:pPr>
      <w:r>
        <w:rPr>
          <w:sz w:val="26"/>
          <w:szCs w:val="26"/>
        </w:rPr>
        <w:t xml:space="preserve">- Danh mục hồ sơ pháp lý:</w:t>
      </w:r>
      <w:r>
        <w:rPr>
          <w:rFonts w:eastAsia="Calibri"/>
          <w:bCs/>
          <w:sz w:val="26"/>
          <w:szCs w:val="26"/>
        </w:rPr>
      </w:r>
      <w:r>
        <w:rPr>
          <w:rFonts w:eastAsia="Calibri"/>
          <w:bCs/>
          <w:sz w:val="26"/>
          <w:szCs w:val="26"/>
        </w:rPr>
      </w:r>
    </w:p>
    <w:p>
      <w:pPr>
        <w:pBdr/>
        <w:spacing/>
        <w:ind w:firstLine="567"/>
        <w:jc w:val="both"/>
        <w:rPr>
          <w:sz w:val="26"/>
          <w:szCs w:val="26"/>
        </w:rPr>
      </w:pPr>
      <w:r>
        <w:rPr>
          <w:rFonts w:ascii="Times New Roman" w:hAnsi="Times New Roman" w:cs="Times New Roman"/>
          <w:sz w:val="26"/>
          <w:szCs w:val="26"/>
        </w:rPr>
        <w:t xml:space="preserve">- </w:t>
      </w:r>
      <w:r>
        <w:rPr>
          <w:rFonts w:ascii="Times New Roman" w:hAnsi="Times New Roman" w:cs="Times New Roman"/>
          <w:sz w:val="26"/>
          <w:szCs w:val="26"/>
        </w:rPr>
        <w:t xml:space="preserve">[custom.thong_tin_chung.ttc_loai_giay_to_phap_ly]</w:t>
      </w:r>
      <w:r>
        <w:rPr>
          <w:rFonts w:ascii="Times New Roman" w:hAnsi="Times New Roman" w:cs="Times New Roman"/>
          <w:sz w:val="26"/>
          <w:szCs w:val="26"/>
        </w:rPr>
        <w:t xml:space="preserve"> số </w:t>
      </w:r>
      <w:r>
        <w:rPr>
          <w:rFonts w:ascii="Times New Roman" w:hAnsi="Times New Roman" w:cs="Times New Roman"/>
          <w:sz w:val="26"/>
          <w:szCs w:val="26"/>
        </w:rPr>
        <w:t xml:space="preserve"> [custom.thong_tin_chung.ttc_so_dkkd]</w:t>
      </w:r>
      <w:r>
        <w:rPr>
          <w:rFonts w:ascii="Times New Roman" w:hAnsi="Times New Roman" w:cs="Times New Roman"/>
          <w:sz w:val="26"/>
          <w:szCs w:val="26"/>
        </w:rPr>
        <w:t xml:space="preserve"> do </w:t>
      </w:r>
      <w:r>
        <w:rPr>
          <w:rFonts w:ascii="Times New Roman" w:hAnsi="Times New Roman" w:cs="Times New Roman"/>
          <w:sz w:val="26"/>
          <w:szCs w:val="26"/>
        </w:rPr>
        <w:t xml:space="preserve">[custom.thong_tin_chung.ttc_noi_cap_dkkd]</w:t>
      </w:r>
      <w:r>
        <w:rPr>
          <w:rFonts w:ascii="Times New Roman" w:hAnsi="Times New Roman" w:cs="Times New Roman"/>
          <w:sz w:val="26"/>
          <w:szCs w:val="26"/>
        </w:rPr>
        <w:t xml:space="preserve">,</w:t>
      </w:r>
      <w:r>
        <w:rPr>
          <w:rFonts w:ascii="Times New Roman" w:hAnsi="Times New Roman" w:cs="Times New Roman"/>
          <w:sz w:val="26"/>
          <w:szCs w:val="26"/>
        </w:rPr>
        <w:t xml:space="preserve"> </w:t>
      </w:r>
      <w:r>
        <w:rPr>
          <w:rFonts w:ascii="Times New Roman" w:hAnsi="Times New Roman" w:cs="Times New Roman"/>
          <w:sz w:val="26"/>
          <w:szCs w:val="26"/>
        </w:rPr>
        <w:t xml:space="preserve">[custom.thong_tin_chung.ttc_ngay_cap_dkkd]</w:t>
      </w:r>
      <w:r>
        <w:rPr>
          <w:rFonts w:ascii="Times New Roman" w:hAnsi="Times New Roman" w:cs="Times New Roman"/>
          <w:sz w:val="26"/>
          <w:szCs w:val="26"/>
        </w:rPr>
        <w:t xml:space="preserve">.</w:t>
      </w:r>
      <w:r>
        <w:rPr>
          <w:sz w:val="26"/>
          <w:szCs w:val="26"/>
        </w:rPr>
      </w:r>
      <w:r>
        <w:rPr>
          <w:sz w:val="26"/>
          <w:szCs w:val="26"/>
        </w:rPr>
      </w:r>
    </w:p>
    <w:p>
      <w:pPr>
        <w:pBdr/>
        <w:spacing/>
        <w:ind w:firstLine="567"/>
        <w:jc w:val="both"/>
        <w:rPr>
          <w:rFonts w:eastAsia="Arial"/>
          <w:sz w:val="26"/>
          <w:szCs w:val="26"/>
        </w:rPr>
      </w:pPr>
      <w:r>
        <w:rPr>
          <w:sz w:val="26"/>
          <w:szCs w:val="26"/>
        </w:rPr>
        <w:t xml:space="preserve">- Điều lệ công ty ngày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các Phó Giám đốc và Kế toán trưởng Công ty ngày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là Ông (bà) </w:t>
      </w:r>
      <w:r>
        <w:rPr>
          <w:sz w:val="26"/>
          <w:szCs w:val="26"/>
        </w:rPr>
        <w:t xml:space="preserve">[Người đại diện pháp luật]</w:t>
      </w:r>
      <w:r>
        <w:rPr>
          <w:sz w:val="26"/>
          <w:szCs w:val="26"/>
        </w:rPr>
        <w:t xml:space="preserve"> số .............. ngày ....../...../......</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[Giấy tờ ủy quyền]</w:t>
      </w:r>
      <w:r>
        <w:rPr>
          <w:sz w:val="26"/>
          <w:szCs w:val="26"/>
        </w:rPr>
      </w:r>
      <w:r>
        <w:rPr>
          <w:sz w:val="26"/>
          <w:szCs w:val="26"/>
        </w:rPr>
      </w:r>
    </w:p>
    <w:p>
      <w:pPr>
        <w:pBdr/>
        <w:spacing/>
        <w:ind w:firstLine="567"/>
        <w:jc w:val="both"/>
        <w:rPr>
          <w:rFonts w:eastAsia="Arial"/>
          <w:sz w:val="26"/>
          <w:szCs w:val="26"/>
        </w:rPr>
      </w:pPr>
      <w:r>
        <w:rPr>
          <w:sz w:val="26"/>
          <w:szCs w:val="26"/>
        </w:rPr>
        <w:t xml:space="preserve">- Quyết định bổ nhiệm kế toán trưởng là ông (bà) .... số ....... ngày ....../...../......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Chứng chỉ hành nghề/Giấy chứng nhận đủ điều kiện kinh doanh/Giấy phép/Hạn ngạch XNK (nếu có):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phần vốn góp của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Danh sách thành viên góp vốn.</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đăng ký mẫu dấu</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[Loại giấy tờ tùy thân] của ông (bà) [Người đại diện] số </w:t>
      </w:r>
      <w:r>
        <w:rPr>
          <w:sz w:val="26"/>
          <w:szCs w:val="26"/>
        </w:rPr>
        <w:t xml:space="preserve">[CCCD/CC người đại diện]</w:t>
      </w:r>
      <w:r>
        <w:rPr>
          <w:sz w:val="26"/>
          <w:szCs w:val="26"/>
        </w:rPr>
        <w:t xml:space="preserve"> cấp ngày </w:t>
      </w:r>
      <w:r>
        <w:rPr>
          <w:sz w:val="26"/>
          <w:szCs w:val="26"/>
        </w:rPr>
        <w:t xml:space="preserve">[Ngày cấp CCCD/CC]</w:t>
      </w:r>
      <w:r>
        <w:rPr>
          <w:sz w:val="26"/>
          <w:szCs w:val="26"/>
        </w:rPr>
        <w:t xml:space="preserve">; Nơi cấp: </w:t>
      </w:r>
      <w:r>
        <w:rPr>
          <w:sz w:val="26"/>
          <w:szCs w:val="26"/>
        </w:rPr>
        <w:t xml:space="preserve">[Nơi cấp CCCD/CC]</w:t>
      </w:r>
      <w:r>
        <w:rPr>
          <w:sz w:val="26"/>
          <w:szCs w:val="26"/>
        </w:rPr>
        <w:t xml:space="preserve">.</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Nghị quyết/Biên bản họp [Tên gọi Hội đồng] thông qua phương án sản xuất kinh doanh vay vốn ngân hàng số ............. ngày ....../...../......</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Nhận xét:</w:t>
      </w:r>
      <w:r>
        <w:rPr>
          <w:rFonts w:ascii="Times New Roman" w:hAnsi="Times New Roman" w:cs="Times New Roman"/>
          <w:sz w:val="26"/>
          <w:szCs w:val="26"/>
        </w:rPr>
        <w:t xml:space="preserve"> Tại thời điểm lập báo cáo thẩm định: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Việc thành lập và hoạt động của khách hàng hợp pháp</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Hồ sơ pháp lý của khách hàng đầy đủ, phù hợp với quy định theo điều lệ công ty và quy định của Pháp luật, đảm bảo theo quy định của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Người đại diện của khách hàng có đủ năng lực pháp luật dân sự và năng lực hành vi dân sự.</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có đủ điều kiện pháp lý để tham gia quan hệ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không thuộc đối tượng hạn chế cho vay.</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Kết luận:</w:t>
      </w:r>
      <w:r>
        <w:rPr>
          <w:rFonts w:ascii="Times New Roman" w:hAnsi="Times New Roman" w:cs="Times New Roman"/>
          <w:sz w:val="26"/>
          <w:szCs w:val="26"/>
        </w:rPr>
        <w:t xml:space="preserve"> [Tên khách hàng] là khách hàng có đủ tư cách pháp nhân theo luật định. Người đại diện công ty có đủ năng lực pháp luật dân sự và năng lực hành vi dân sự. Công ty có đủ điều kiện pháp lý để tham gia quan hệ tín dụng. </w:t>
      </w:r>
      <w:r>
        <w:rPr>
          <w:sz w:val="26"/>
          <w:szCs w:val="26"/>
        </w:rPr>
      </w:r>
      <w:r>
        <w:rPr>
          <w:sz w:val="26"/>
          <w:szCs w:val="26"/>
        </w:rPr>
      </w:r>
    </w:p>
    <w:p>
      <w:pPr>
        <w:pBdr/>
        <w:spacing/>
        <w:ind w:firstLine="567"/>
        <w:jc w:val="both"/>
        <w:rPr>
          <w:rFonts w:eastAsia="Calibri"/>
          <w:b/>
          <w:bCs/>
          <w:sz w:val="26"/>
          <w:szCs w:val="26"/>
        </w:rPr>
      </w:pPr>
      <w:r>
        <w:rPr>
          <w:b/>
          <w:bCs/>
          <w:sz w:val="26"/>
          <w:szCs w:val="26"/>
        </w:rPr>
        <w:t xml:space="preserve">2. Đánh giá về năng lực quản trị điều hành</w:t>
      </w:r>
      <w:r>
        <w:rPr>
          <w:rFonts w:eastAsia="Calibri"/>
          <w:b/>
          <w:bCs/>
          <w:sz w:val="26"/>
          <w:szCs w:val="26"/>
        </w:rPr>
      </w:r>
      <w:r>
        <w:rPr>
          <w:rFonts w:eastAsia="Calibri"/>
          <w:b/>
          <w:bCs/>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STT</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Chức danh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Họ tên</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Lĩnh vực quản lý</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Năm sinh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Trình độ</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Số năm công tác</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Thời gian bổ nhiệm gần nhất</w:t>
            </w:r>
            <w:r>
              <w:rPr>
                <w:rFonts w:eastAsia="Calibri"/>
                <w:bCs w:val="0"/>
                <w:sz w:val="24"/>
                <w:szCs w:val="26"/>
              </w:rPr>
            </w:r>
            <w:r>
              <w:rPr>
                <w:rFonts w:eastAsia="Calibri"/>
                <w:bCs w:val="0"/>
                <w:sz w:val="24"/>
                <w:szCs w:val="26"/>
              </w:rPr>
            </w:r>
          </w:p>
        </w:tc>
      </w:tr>
      <w:t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b w:val="0"/>
                <w:bCs w:val="0"/>
                <w:sz w:val="24"/>
                <w:szCs w:val="24"/>
              </w:rPr>
              <w:t xml:space="preserve">[#Ban lãnh đạo][custom.ban_lanh_dao.stt]</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14:paraId="230F25C0">
            <w:pPr>
              <w:pBdr/>
              <w:spacing/>
              <w:ind/>
              <w:jc w:val="center"/>
              <w:rPr>
                <w:b w:val="0"/>
                <w:bCs w:val="0"/>
              </w:rPr>
            </w:pPr>
            <w:r>
              <w:rPr>
                <w:b w:val="0"/>
                <w:bCs w:val="0"/>
              </w:rPr>
            </w:r>
            <w:r>
              <w:rPr>
                <w:b w:val="0"/>
                <w:bCs w:val="0"/>
              </w:rPr>
              <w:t xml:space="preserve">[custom.ban_lanh_dao.bld_chuc_danh]</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14:paraId="12BB44B0">
            <w:pPr>
              <w:pBdr/>
              <w:spacing/>
              <w:ind/>
              <w:jc w:val="center"/>
              <w:rPr>
                <w:b w:val="0"/>
                <w:bCs w:val="0"/>
              </w:rPr>
            </w:pPr>
            <w:r>
              <w:rPr>
                <w:b w:val="0"/>
                <w:bCs w:val="0"/>
              </w:rPr>
            </w:r>
            <w:r>
              <w:rPr>
                <w:b w:val="0"/>
                <w:bCs w:val="0"/>
              </w:rPr>
              <w:t xml:space="preserve">[custom.ban_lanh_dao.bld_ho_va_ten]</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14:paraId="10978942">
            <w:pPr>
              <w:pBdr/>
              <w:spacing/>
              <w:ind/>
              <w:jc w:val="center"/>
              <w:rPr>
                <w:b w:val="0"/>
                <w:bCs w:val="0"/>
              </w:rPr>
            </w:pPr>
            <w:r>
              <w:rPr>
                <w:b w:val="0"/>
                <w:bCs w:val="0"/>
              </w:rPr>
            </w:r>
            <w:r>
              <w:rPr>
                <w:b w:val="0"/>
                <w:bCs w:val="0"/>
              </w:rPr>
              <w:t xml:space="preserve">[custom.ban_lanh_dao.bld_linh_vuc_quan_ly]</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14:paraId="13805723">
            <w:pPr>
              <w:pBdr/>
              <w:spacing/>
              <w:ind/>
              <w:jc w:val="center"/>
              <w:rPr>
                <w:b w:val="0"/>
                <w:bCs w:val="0"/>
              </w:rPr>
            </w:pPr>
            <w:r>
              <w:rPr>
                <w:b w:val="0"/>
                <w:bCs w:val="0"/>
              </w:rPr>
            </w:r>
            <w:r>
              <w:rPr>
                <w:b w:val="0"/>
                <w:bCs w:val="0"/>
              </w:rPr>
              <w:t xml:space="preserve">[custom.ban_lanh_dao.bld_nam_sinh]</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14:paraId="43DA8581">
            <w:pPr>
              <w:pBdr/>
              <w:spacing/>
              <w:ind/>
              <w:jc w:val="center"/>
              <w:rPr>
                <w:b w:val="0"/>
                <w:bCs w:val="0"/>
              </w:rPr>
            </w:pPr>
            <w:r>
              <w:rPr>
                <w:b w:val="0"/>
                <w:bCs w:val="0"/>
              </w:rPr>
            </w:r>
            <w:r>
              <w:rPr>
                <w:b w:val="0"/>
                <w:bCs w:val="0"/>
              </w:rPr>
              <w:t xml:space="preserve">[custom.ban_lanh_dao.bld_trinh_do]</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14:paraId="6C990479">
            <w:pPr>
              <w:pBdr/>
              <w:spacing/>
              <w:ind/>
              <w:jc w:val="center"/>
              <w:rPr>
                <w:b w:val="0"/>
                <w:bCs w:val="0"/>
              </w:rPr>
            </w:pPr>
            <w:r>
              <w:rPr>
                <w:b w:val="0"/>
                <w:bCs w:val="0"/>
              </w:rPr>
            </w:r>
            <w:r>
              <w:rPr>
                <w:b w:val="0"/>
                <w:bCs w:val="0"/>
              </w:rPr>
              <w:t xml:space="preserve">[custom.ban_lanh_dao.bld_so_nam_cong_tac]</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14:paraId="53068AF8">
            <w:pPr>
              <w:pBdr/>
              <w:spacing/>
              <w:ind/>
              <w:jc w:val="center"/>
              <w:rPr>
                <w:b w:val="0"/>
                <w:bCs w:val="0"/>
              </w:rPr>
            </w:pPr>
            <w:r>
              <w:rPr>
                <w:b w:val="0"/>
                <w:bCs w:val="0"/>
              </w:rPr>
            </w:r>
            <w:r>
              <w:rPr>
                <w:b w:val="0"/>
                <w:bCs w:val="0"/>
              </w:rPr>
              <w:t xml:space="preserve">[custom.ban_lanh_dao.bld_thoi_gian_bo_nhiem][/Ban lãnh đạo]</w:t>
            </w:r>
            <w:r>
              <w:rPr>
                <w:b w:val="0"/>
                <w:bCs w:val="0"/>
              </w:rPr>
            </w:r>
            <w:r>
              <w:rPr>
                <w:b w:val="0"/>
                <w:bCs w:val="0"/>
              </w:rPr>
            </w:r>
          </w:p>
        </w:tc>
      </w:tr>
    </w:tbl>
    <w:p>
      <w:pPr>
        <w:pBdr/>
        <w:spacing w:before="120" w:line="276" w:lineRule="auto"/>
        <w:ind w:firstLine="567"/>
        <w:jc w:val="both"/>
        <w:rPr>
          <w:rFonts w:eastAsia="Arial"/>
          <w:b/>
          <w:sz w:val="26"/>
          <w:szCs w:val="26"/>
        </w:rPr>
      </w:pPr>
      <w:r>
        <w:rPr>
          <w:b/>
          <w:bCs/>
          <w:sz w:val="26"/>
          <w:szCs w:val="26"/>
        </w:rPr>
        <w:t xml:space="preserve">3. Danh sách thành viên/cổ đông chiếm từ 5% vốn điều lệ trở lên</w:t>
      </w:r>
      <w:r>
        <w:tab/>
      </w:r>
      <w:r>
        <w:rPr>
          <w:b/>
          <w:bCs/>
          <w:sz w:val="26"/>
          <w:szCs w:val="26"/>
        </w:rPr>
        <w:t xml:space="preserve">         </w:t>
      </w:r>
      <w:r>
        <w:rPr>
          <w:rFonts w:eastAsia="Arial"/>
          <w:b/>
          <w:sz w:val="26"/>
          <w:szCs w:val="26"/>
        </w:rPr>
      </w:r>
      <w:r>
        <w:rPr>
          <w:rFonts w:eastAsia="Arial"/>
          <w:b/>
          <w:sz w:val="26"/>
          <w:szCs w:val="26"/>
        </w:rPr>
      </w:r>
    </w:p>
    <w:p>
      <w:pPr>
        <w:pBdr/>
        <w:spacing w:line="276" w:lineRule="auto"/>
        <w:ind/>
        <w:jc w:val="right"/>
        <w:rPr>
          <w:rFonts w:eastAsia="Arial"/>
          <w:i/>
          <w:color w:val="000000"/>
          <w:szCs w:val="26"/>
        </w:rPr>
      </w:pPr>
      <w:r>
        <w:rPr>
          <w:i/>
          <w:iCs/>
          <w:color w:val="000000"/>
          <w:sz w:val="24"/>
          <w:szCs w:val="24"/>
        </w:rPr>
        <w:t xml:space="preserve"> Đơn vị: đồng</w:t>
      </w:r>
      <w:r>
        <w:rPr>
          <w:rFonts w:eastAsia="Arial"/>
          <w:i/>
          <w:color w:val="000000"/>
          <w:szCs w:val="26"/>
        </w:rPr>
      </w:r>
      <w:r>
        <w:rPr>
          <w:rFonts w:eastAsia="Arial"/>
          <w:i/>
          <w:color w:val="000000"/>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STT</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Tên cổ đông/ Thành viên</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Giấy CMND; Mã số DN</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Địa chỉ</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Giá trị cổ phần/</w:t>
            </w:r>
            <w:r>
              <w:rPr>
                <w:b/>
                <w:color w:val="000000"/>
                <w:sz w:val="22"/>
                <w:szCs w:val="26"/>
              </w:rPr>
            </w:r>
            <w:r>
              <w:rPr>
                <w:b/>
                <w:color w:val="000000"/>
                <w:sz w:val="22"/>
                <w:szCs w:val="26"/>
              </w:rPr>
            </w:r>
          </w:p>
          <w:p>
            <w:pPr>
              <w:pBdr/>
              <w:spacing/>
              <w:ind/>
              <w:jc w:val="center"/>
              <w:rPr>
                <w:b/>
                <w:color w:val="000000"/>
                <w:sz w:val="22"/>
                <w:szCs w:val="26"/>
              </w:rPr>
            </w:pPr>
            <w:r>
              <w:rPr>
                <w:rFonts w:ascii="Times New Roman" w:hAnsi="Times New Roman" w:cs="Times New Roman"/>
                <w:b/>
                <w:bCs/>
                <w:color w:val="000000"/>
                <w:sz w:val="22"/>
                <w:szCs w:val="22"/>
              </w:rPr>
              <w:t xml:space="preserve">Vốn góp</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Tỷ lệ (%)</w:t>
            </w:r>
            <w:r>
              <w:rPr>
                <w:b/>
                <w:color w:val="000000"/>
                <w:sz w:val="22"/>
                <w:szCs w:val="26"/>
              </w:rPr>
            </w:r>
            <w:r>
              <w:rPr>
                <w:b/>
                <w:color w:val="000000"/>
                <w:sz w:val="22"/>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[#Thành viên HĐTV][STT]</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r>
            <w:r>
              <w:rPr>
                <w:b w:val="0"/>
                <w:bCs w:val="0"/>
                <w:sz w:val="24"/>
                <w:szCs w:val="24"/>
              </w:rPr>
              <w:t xml:space="preserve">[NLQ.Tên tổ chức/Cá nhân]</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r>
            <w:r>
              <w:rPr>
                <w:b w:val="0"/>
                <w:bCs w:val="0"/>
                <w:sz w:val="24"/>
                <w:szCs w:val="24"/>
              </w:rPr>
              <w:t xml:space="preserve">[NLQ.Số ĐKKD/CMND]</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[NLQ.Địa chỉ]</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[Giá trị cổ phần, vốn góp]</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[Tỷ lệ cổ phần, vốn góp][/</w:t>
            </w:r>
            <w:r>
              <w:rPr>
                <w:b w:val="0"/>
                <w:bCs w:val="0"/>
                <w:sz w:val="24"/>
                <w:szCs w:val="24"/>
              </w:rPr>
              <w:t xml:space="preserve">Thành viên HĐTV</w:t>
            </w:r>
            <w:r>
              <w:rPr>
                <w:b w:val="0"/>
                <w:bCs w:val="0"/>
                <w:sz w:val="24"/>
                <w:szCs w:val="24"/>
              </w:rPr>
              <w:t xml:space="preserve">]</w:t>
            </w:r>
            <w:r>
              <w:rPr>
                <w:rFonts w:eastAsia="Calibri"/>
                <w:b w:val="0"/>
                <w:bCs w:val="0"/>
                <w:sz w:val="24"/>
                <w:szCs w:val="26"/>
              </w:rPr>
            </w:r>
            <w:r>
              <w:rPr>
                <w:rFonts w:eastAsia="Calibri"/>
                <w:b w:val="0"/>
                <w:bCs w:val="0"/>
                <w:sz w:val="24"/>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cộng</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Giá trị cổ phần, vốn góp]</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100%</w:t>
            </w:r>
            <w:r>
              <w:rPr>
                <w:b/>
                <w:szCs w:val="26"/>
              </w:rPr>
            </w:r>
            <w:r>
              <w:rPr>
                <w:b/>
                <w:szCs w:val="26"/>
              </w:rPr>
            </w:r>
          </w:p>
        </w:tc>
      </w:tr>
    </w:tbl>
    <w:p>
      <w:pPr>
        <w:pBdr/>
        <w:spacing w:before="120" w:line="276" w:lineRule="auto"/>
        <w:ind w:firstLine="567"/>
        <w:jc w:val="both"/>
        <w:rPr>
          <w:rFonts w:eastAsia="Arial"/>
          <w:b/>
          <w:color w:val="000000"/>
          <w:sz w:val="26"/>
          <w:szCs w:val="26"/>
        </w:rPr>
      </w:pPr>
      <w:r>
        <w:rPr>
          <w:b/>
          <w:bCs/>
          <w:color w:val="000000"/>
          <w:sz w:val="26"/>
          <w:szCs w:val="26"/>
        </w:rPr>
        <w:t xml:space="preserve">4. Danh sách người có liên quan của khách hàng</w:t>
      </w:r>
      <w:r>
        <w:rPr>
          <w:rFonts w:eastAsia="Arial"/>
          <w:b/>
          <w:color w:val="000000"/>
          <w:sz w:val="26"/>
          <w:szCs w:val="26"/>
        </w:rPr>
      </w:r>
      <w:r>
        <w:rPr>
          <w:rFonts w:eastAsia="Arial"/>
          <w:b/>
          <w:color w:val="000000"/>
          <w:sz w:val="26"/>
          <w:szCs w:val="26"/>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80"/>
        <w:gridCol w:w="2663"/>
        <w:gridCol w:w="2382"/>
        <w:gridCol w:w="1970"/>
        <w:gridCol w:w="959"/>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880"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STT</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663" w:type="dxa"/>
            <w:vAlign w:val="center"/>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Tên pháp nhân/</w:t>
            </w:r>
            <w:r>
              <w:rPr>
                <w:rStyle w:val="1045"/>
                <w:sz w:val="24"/>
                <w:szCs w:val="26"/>
              </w:rPr>
            </w:r>
            <w:r>
              <w:rPr>
                <w:rStyle w:val="1045"/>
                <w:sz w:val="24"/>
                <w:szCs w:val="26"/>
              </w:rPr>
            </w:r>
          </w:p>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cá nhân</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382"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Mã số DN/CMND</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970"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Tỷ lệ sở hữu/Mối quan hệ</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59" w:type="dxa"/>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Ngành nghề kinh doanh</w:t>
            </w:r>
            <w:r>
              <w:rPr>
                <w:rStyle w:val="1045"/>
                <w:sz w:val="24"/>
                <w:szCs w:val="26"/>
              </w:rPr>
            </w:r>
            <w:r>
              <w:rPr>
                <w:rStyle w:val="1045"/>
                <w:sz w:val="24"/>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880" w:type="dxa"/>
            <w:vAlign w:val="center"/>
            <w:textDirection w:val="lrTb"/>
            <w:noWrap w:val="false"/>
          </w:tcPr>
          <w:p>
            <w:pPr>
              <w:pBdr/>
              <w:spacing/>
              <w:ind/>
              <w:jc w:val="center"/>
              <w:rPr>
                <w:szCs w:val="26"/>
              </w:rPr>
            </w:pPr>
            <w:r>
              <w:rPr>
                <w:rFonts w:ascii="Times New Roman" w:hAnsi="Times New Roman" w:cs="Times New Roman"/>
                <w:sz w:val="24"/>
                <w:szCs w:val="24"/>
              </w:rPr>
              <w:t xml:space="preserve">[#Người có liên quan][custom.nguoi_co_lien_quan.stt]</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663"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[custom.nguoi_co_lien_quan.nlq_ten_to_chuc_ca_nhan]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382"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[custom.nguoi_co_lien_quan.nlq_so_dkkd_cmnd]</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970"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[custom.nguoi_co_lien_quan.nlq_moi_lien_quan]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59" w:type="dxa"/>
            <w:textDirection w:val="lrTb"/>
            <w:noWrap w:val="false"/>
          </w:tcPr>
          <w:p>
            <w:pPr>
              <w:pBdr/>
              <w:spacing/>
              <w:ind/>
              <w:jc w:val="center"/>
              <w:rPr>
                <w:szCs w:val="26"/>
              </w:rPr>
            </w:pPr>
            <w:r>
              <w:rPr>
                <w:szCs w:val="26"/>
              </w:rPr>
              <w:t xml:space="preserve">[/Người có liên quan]</w:t>
            </w:r>
            <w:r>
              <w:rPr>
                <w:szCs w:val="26"/>
              </w:rPr>
            </w:r>
            <w:r>
              <w:rPr>
                <w:szCs w:val="26"/>
              </w:rPr>
            </w:r>
          </w:p>
        </w:tc>
      </w:tr>
    </w:tbl>
    <w:p>
      <w:pPr>
        <w:pBdr/>
        <w:spacing/>
        <w:ind w:firstLine="567"/>
        <w:jc w:val="both"/>
        <w:rPr>
          <w:rFonts w:eastAsia="Calibri"/>
          <w:b/>
          <w:sz w:val="26"/>
          <w:szCs w:val="26"/>
        </w:rPr>
      </w:pPr>
      <w:r>
        <w:rPr>
          <w:b/>
          <w:bCs/>
          <w:sz w:val="26"/>
          <w:szCs w:val="26"/>
        </w:rPr>
        <w:t xml:space="preserve">IV. Hồ sơ kinh tế của khách hàng </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 Hồ sơ khách hàng cung cấp</w:t>
      </w:r>
      <w:r>
        <w:rPr>
          <w:rFonts w:eastAsia="Calibri"/>
          <w:b/>
          <w:sz w:val="26"/>
          <w:szCs w:val="26"/>
        </w:rPr>
      </w:r>
      <w:r>
        <w:rPr>
          <w:rFonts w:eastAsia="Calibri"/>
          <w:b/>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đến [Ngày báo cáo] và các năm [Năm liền kề -1], [Năm liền kề].</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tình hình tài chính đến quý gần nhất</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quý gần nhất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nợ phải thu, phải trả (những khoản chiếm tỷ trọng lớn từ 10% tổng nợ phải thu, phải trả trở lên và các khoản phải thu, phải trả nội bộ, với nhóm khách hàng có liên quan);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hàng tồn kho (những khoản chiếm tỷ trọng lớn từ 10% tổng giá trị hàng tồn kho);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đầu tư tài chính dài hạn, ngắn hạn.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Bảng kê nợ vay tại các TCTD;</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tài khoản tiền gửi các ngân hàng;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Chi tiết doanh thu theo từng mặt hàng, lĩnh vực kinh doanh, từng công trình thi công. Doanh số (lượng, giá trị) xuất khẩu theo từng nước, khu vực (nếu có)...</w:t>
      </w:r>
      <w:r>
        <w:rPr>
          <w:sz w:val="26"/>
          <w:szCs w:val="26"/>
        </w:rPr>
      </w:r>
      <w:r>
        <w:rPr>
          <w:sz w:val="26"/>
          <w:szCs w:val="26"/>
        </w:rPr>
      </w:r>
    </w:p>
    <w:p>
      <w:pPr>
        <w:pBdr/>
        <w:tabs>
          <w:tab w:val="left" w:leader="none" w:pos="567"/>
        </w:tabs>
        <w:spacing/>
        <w:ind w:firstLine="567"/>
        <w:jc w:val="both"/>
        <w:rPr>
          <w:sz w:val="26"/>
          <w:szCs w:val="28"/>
        </w:rPr>
      </w:pPr>
      <w:r>
        <w:rPr>
          <w:rFonts w:ascii="Times New Roman" w:hAnsi="Times New Roman" w:cs="Times New Roman"/>
          <w:b/>
          <w:bCs/>
          <w:sz w:val="26"/>
          <w:szCs w:val="26"/>
        </w:rPr>
        <w:t xml:space="preserve">2. Nhận xét</w:t>
      </w:r>
      <w:r>
        <w:rPr>
          <w:rFonts w:ascii="Times New Roman" w:hAnsi="Times New Roman" w:cs="Times New Roman"/>
          <w:sz w:val="26"/>
          <w:szCs w:val="26"/>
        </w:rPr>
        <w:t xml:space="preserve">: Hồ sơ khách hàng cung cấp đầy đủ, hợp pháp, hợp lệ theo quy định của Pháp luật và của Agribank. </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V. Tình hình quan hệ tín dụng với Ngân hàng</w:t>
      </w:r>
      <w:r>
        <w:rPr>
          <w:b/>
          <w:sz w:val="26"/>
          <w:szCs w:val="28"/>
        </w:rPr>
      </w:r>
      <w:r>
        <w:rPr>
          <w:b/>
          <w:sz w:val="26"/>
          <w:szCs w:val="28"/>
        </w:rPr>
      </w:r>
    </w:p>
    <w:p>
      <w:pPr>
        <w:pBdr/>
        <w:spacing/>
        <w:ind w:firstLine="567"/>
        <w:jc w:val="both"/>
        <w:rPr>
          <w:rFonts w:eastAsia="Calibri"/>
          <w:b/>
          <w:sz w:val="26"/>
          <w:szCs w:val="26"/>
        </w:rPr>
      </w:pPr>
      <w:r>
        <w:rPr>
          <w:b/>
          <w:bCs/>
          <w:sz w:val="26"/>
          <w:szCs w:val="26"/>
        </w:rPr>
        <w:t xml:space="preserve">1. Tình hình quan hệ tín dụng với Ngân hàng</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1.1. Tình hình quan hệ tín dụng của khách hàng vay vốn </w:t>
      </w:r>
      <w:r>
        <w:rPr>
          <w:rFonts w:eastAsia="Calibri"/>
          <w:b/>
          <w:sz w:val="26"/>
          <w:szCs w:val="26"/>
        </w:rPr>
      </w:r>
      <w:r>
        <w:rPr>
          <w:rFonts w:eastAsia="Calibri"/>
          <w:b/>
          <w:sz w:val="26"/>
          <w:szCs w:val="26"/>
        </w:rPr>
      </w:r>
    </w:p>
    <w:p>
      <w:pPr>
        <w:pBdr/>
        <w:spacing/>
        <w:ind w:firstLine="567"/>
        <w:jc w:val="both"/>
        <w:rPr>
          <w:rFonts w:eastAsia="Calibri"/>
          <w:bCs/>
          <w:sz w:val="26"/>
          <w:szCs w:val="26"/>
        </w:rPr>
      </w:pPr>
      <w:r>
        <w:rPr>
          <w:sz w:val="26"/>
          <w:szCs w:val="26"/>
        </w:rPr>
        <w:t xml:space="preserve">a) Thông tin CIC</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w:t>
      </w:r>
      <w:r>
        <w:rPr>
          <w:sz w:val="26"/>
          <w:szCs w:val="26"/>
        </w:rPr>
        <w:t xml:space="preserve">[TD.Tổng dư nợ tại các TCTD khác]</w:t>
      </w:r>
      <w:r>
        <w:rPr>
          <w:sz w:val="26"/>
          <w:szCs w:val="26"/>
        </w:rPr>
        <w:t xml:space="preserve">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w:t>
      </w:r>
      <w:r>
        <w:rPr>
          <w:sz w:val="26"/>
          <w:szCs w:val="26"/>
        </w:rPr>
        <w:t xml:space="preserve">[TD.Nhóm nợ tại các TCTD khác]</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b) Theo thông tin trên hệ thống IPCAS</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w:t>
      </w:r>
      <w:r>
        <w:rPr>
          <w:sz w:val="26"/>
          <w:szCs w:val="26"/>
        </w:rPr>
        <w:t xml:space="preserve">[TD.Tổng dư nợ tại Agribank]</w:t>
      </w:r>
      <w:r>
        <w:rPr>
          <w:sz w:val="26"/>
          <w:szCs w:val="26"/>
        </w:rPr>
        <w:t xml:space="preserve">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w:t>
      </w:r>
      <w:r>
        <w:rPr>
          <w:sz w:val="26"/>
          <w:szCs w:val="26"/>
        </w:rPr>
        <w:t xml:space="preserve">[TD.Nhóm nợ tại Agribank]</w:t>
      </w:r>
      <w:r>
        <w:rPr>
          <w:rFonts w:eastAsia="Calibri"/>
          <w:bCs/>
          <w:sz w:val="26"/>
          <w:szCs w:val="26"/>
        </w:rPr>
      </w:r>
      <w:r>
        <w:rPr>
          <w:rFonts w:eastAsia="Calibri"/>
          <w:bCs/>
          <w:sz w:val="26"/>
          <w:szCs w:val="26"/>
        </w:rPr>
      </w:r>
    </w:p>
    <w:p>
      <w:pPr>
        <w:pBdr/>
        <w:spacing/>
        <w:ind w:firstLine="567"/>
        <w:jc w:val="both"/>
        <w:rPr>
          <w:rFonts w:eastAsia="Arial"/>
          <w:b/>
          <w:sz w:val="26"/>
        </w:rPr>
      </w:pPr>
      <w:r>
        <w:rPr>
          <w:b/>
          <w:bCs/>
          <w:sz w:val="26"/>
          <w:szCs w:val="26"/>
        </w:rPr>
        <w:t xml:space="preserve">1.2. Tình hình quan hệ tín dụng của người có liên quan đến [Tên khách hàng]</w:t>
      </w:r>
      <w:r>
        <w:rPr>
          <w:rFonts w:eastAsia="Arial"/>
          <w:b/>
          <w:sz w:val="26"/>
        </w:rPr>
      </w:r>
      <w:r>
        <w:rPr>
          <w:rFonts w:eastAsia="Arial"/>
          <w:b/>
          <w:sz w:val="26"/>
        </w:rPr>
      </w:r>
    </w:p>
    <w:p>
      <w:pPr>
        <w:pBdr/>
        <w:tabs>
          <w:tab w:val="left" w:leader="none" w:pos="567"/>
        </w:tabs>
        <w:spacing/>
        <w:ind w:firstLine="567"/>
        <w:contextualSpacing w:val="true"/>
        <w:jc w:val="both"/>
        <w:rPr>
          <w:rFonts w:eastAsia="Calibri" w:eastAsiaTheme="minorHAnsi"/>
          <w:b/>
          <w:iCs/>
          <w:sz w:val="26"/>
        </w:rPr>
      </w:pPr>
      <w:r>
        <w:rPr>
          <w:b/>
          <w:bCs/>
          <w:sz w:val="26"/>
          <w:szCs w:val="26"/>
        </w:rPr>
        <w:t xml:space="preserve">a) Theo thông tin CIC</w:t>
      </w:r>
      <w:r>
        <w:rPr>
          <w:rFonts w:eastAsia="Calibri" w:eastAsiaTheme="minorHAnsi"/>
          <w:b/>
          <w:iCs/>
          <w:sz w:val="26"/>
        </w:rPr>
      </w:r>
      <w:r>
        <w:rPr>
          <w:rFonts w:eastAsia="Calibri" w:eastAsiaTheme="minorHAnsi"/>
          <w:b/>
          <w:iCs/>
          <w:sz w:val="26"/>
        </w:rPr>
      </w:r>
    </w:p>
    <w:p>
      <w:pPr>
        <w:pBdr/>
        <w:tabs>
          <w:tab w:val="left" w:leader="none" w:pos="567"/>
        </w:tabs>
        <w:spacing/>
        <w:ind/>
        <w:contextualSpacing w:val="true"/>
        <w:jc w:val="right"/>
        <w:rPr>
          <w:rFonts w:eastAsia="Calibri" w:eastAsiaTheme="minorHAnsi"/>
          <w:b/>
          <w:i/>
          <w:iCs/>
          <w:sz w:val="26"/>
        </w:rPr>
      </w:pPr>
      <w:r>
        <w:rPr>
          <w:b/>
          <w:bCs/>
          <w:i/>
          <w:iCs/>
          <w:sz w:val="26"/>
          <w:szCs w:val="26"/>
        </w:rPr>
        <w:t xml:space="preserve">Đơn vị: triệu đồng</w:t>
      </w:r>
      <w:r>
        <w:rPr>
          <w:rFonts w:eastAsia="Calibri" w:eastAsiaTheme="minorHAnsi"/>
          <w:b/>
          <w:i/>
          <w:iCs/>
          <w:sz w:val="26"/>
        </w:rPr>
      </w:r>
      <w:r>
        <w:rPr>
          <w:rFonts w:eastAsia="Calibri" w:eastAsiaTheme="minorHAnsi"/>
          <w:b/>
          <w:i/>
          <w:iCs/>
          <w:sz w:val="26"/>
        </w:rPr>
      </w:r>
    </w:p>
    <w:tbl>
      <w:tblPr>
        <w:tblStyle w:val="974"/>
        <w:tblInd w:w="0" w:type="dxa"/>
        <w:tblW w:w="5000" w:type="pct"/>
        <w:tblCellMar>
          <w:left w:w="10" w:type="dxa"/>
          <w:top w:w="0" w:type="dxa"/>
          <w:right w:w="1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95"/>
        <w:gridCol w:w="2351"/>
        <w:gridCol w:w="1999"/>
        <w:gridCol w:w="1300"/>
        <w:gridCol w:w="3412"/>
      </w:tblGrid>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254C05EB">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STT</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1A83CD7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TỔ CHỨC TÍN DỤNG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641E7F26">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TỔNG GIÁ TRỊ KHOẢN VAY</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5A20D4D8">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b/>
                <w:color w:val="000000"/>
                <w:sz w:val="24"/>
              </w:rPr>
              <w:t xml:space="preserve">DƯ NỢ</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597B0FD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MỤC ĐÍCH SỬ DỤNG VỐN</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7791A08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1</w:t>
            </w:r>
            <w:r/>
          </w:p>
        </w:tc>
        <w:tc>
          <w:tcPr>
            <w:gridSpan w:val="2"/>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4350" w:type="dxa"/>
            <w:vAlign w:val="center"/>
            <w:textDirection w:val="lrTb"/>
            <w:noWrap w:val="false"/>
          </w:tcPr>
          <w:p w14:paraId="4F3A9E0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rPr/>
            </w:pPr>
            <w:r>
              <w:rPr>
                <w:rFonts w:ascii="Times New Roman" w:hAnsi="Times New Roman" w:eastAsia="Times New Roman" w:cs="Times New Roman"/>
                <w:b/>
                <w:color w:val="000000"/>
                <w:sz w:val="24"/>
              </w:rPr>
              <w:t xml:space="preserve">Tại Agribank Chi nhánh Lâm Đồng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4458479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44E9776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578D531C">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color w:val="000000"/>
                <w:sz w:val="24"/>
              </w:rPr>
              <w:t xml:space="preserve"> 1.1</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3589492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left"/>
              <w:rPr/>
            </w:pPr>
            <w:r>
              <w:rPr>
                <w:rFonts w:ascii="Times New Roman" w:hAnsi="Times New Roman" w:eastAsia="Times New Roman" w:cs="Times New Roman"/>
                <w:color w:val="000000"/>
                <w:sz w:val="24"/>
              </w:rPr>
              <w:t xml:space="preserve">Ngắn hạn</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79B863E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Agribank]</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0B114B2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ngắn hạn tại Agribank]</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7E8C3B35">
            <w:pPr>
              <w:pBdr/>
              <w:spacing/>
              <w:ind/>
              <w:rPr/>
            </w:pPr>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vMerge w:val="restart"/>
            <w:textDirection w:val="lrTb"/>
            <w:noWrap w:val="false"/>
          </w:tcPr>
          <w:p w14:paraId="767268A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1.2</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vMerge w:val="restart"/>
            <w:textDirection w:val="lrTb"/>
            <w:noWrap w:val="false"/>
          </w:tcPr>
          <w:p w14:paraId="406CB34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left"/>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Trung, dài hạn</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vMerge w:val="restart"/>
            <w:textDirection w:val="lrTb"/>
            <w:noWrap w:val="false"/>
          </w:tcPr>
          <w:p w14:paraId="3898BA1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Agribank]</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vMerge w:val="restart"/>
            <w:textDirection w:val="lrTb"/>
            <w:noWrap w:val="false"/>
          </w:tcPr>
          <w:p w14:paraId="40503F71">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trung dài hạn tại Agribank]</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vMerge w:val="restart"/>
            <w:textDirection w:val="lrTb"/>
            <w:noWrap w:val="false"/>
          </w:tcPr>
          <w:p w14:paraId="4999C86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4CE3CCE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2</w:t>
            </w:r>
            <w:r/>
          </w:p>
        </w:tc>
        <w:tc>
          <w:tcPr>
            <w:gridSpan w:val="2"/>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4350" w:type="dxa"/>
            <w:vAlign w:val="center"/>
            <w:textDirection w:val="lrTb"/>
            <w:noWrap w:val="false"/>
          </w:tcPr>
          <w:p w14:paraId="0A35908E">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rPr/>
            </w:pPr>
            <w:r>
              <w:rPr>
                <w:rFonts w:ascii="Times New Roman" w:hAnsi="Times New Roman" w:eastAsia="Times New Roman" w:cs="Times New Roman"/>
                <w:b/>
                <w:color w:val="000000"/>
                <w:sz w:val="24"/>
              </w:rPr>
              <w:t xml:space="preserve">Tại các TCTD khác</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4957DD0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5B8DA5BA">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4F631123">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color w:val="000000"/>
                <w:sz w:val="24"/>
              </w:rPr>
              <w:t xml:space="preserve">2.1 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01A4A8FE">
            <w:pPr>
              <w:pBdr/>
              <w:spacing/>
              <w:ind w:right="0" w:firstLine="0" w:left="90"/>
              <w:rPr/>
            </w:pPr>
            <w:r>
              <w:t xml:space="preserve">[TD.Đang QH t.dụng tại TCTD]</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5A601CFA">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[TD.Tổng dư nợ tại các TCTD khác]</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62F39F3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[TD.Dư nợ ngắn hạn tại các TCTD khác]</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0925357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vMerge w:val="restart"/>
            <w:textDirection w:val="lrTb"/>
            <w:noWrap w:val="false"/>
          </w:tcPr>
          <w:p w14:paraId="2C05404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2.2</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vMerge w:val="restart"/>
            <w:textDirection w:val="lrTb"/>
            <w:noWrap w:val="false"/>
          </w:tcPr>
          <w:p w14:paraId="44283C88">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vMerge w:val="restart"/>
            <w:textDirection w:val="lrTb"/>
            <w:noWrap w:val="false"/>
          </w:tcPr>
          <w:p w14:paraId="0A22DAC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các TCTD khác]</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vMerge w:val="restart"/>
            <w:textDirection w:val="lrTb"/>
            <w:noWrap w:val="false"/>
          </w:tcPr>
          <w:p w14:paraId="6E60A84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trung dài hạn tại các TCTD khác]</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vMerge w:val="restart"/>
            <w:textDirection w:val="lrTb"/>
            <w:noWrap w:val="false"/>
          </w:tcPr>
          <w:p w14:paraId="7339492E">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7245961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3F43A22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b/>
                <w:color w:val="000000"/>
                <w:sz w:val="24"/>
              </w:rPr>
              <w:t xml:space="preserve">Tổng cộng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65F650B4">
            <w:pPr>
              <w:pBdr/>
              <w:spacing/>
              <w:ind/>
              <w:rPr/>
            </w:p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0A86EB8B">
            <w:pPr>
              <w:pBdr/>
              <w:spacing/>
              <w:ind/>
              <w:rPr/>
            </w:p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1B2FDAF3">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bl>
    <w:p>
      <w:pPr>
        <w:pBdr/>
        <w:spacing w:before="120"/>
        <w:ind w:firstLine="567"/>
        <w:jc w:val="both"/>
        <w:rPr>
          <w:rFonts w:eastAsiaTheme="minorHAnsi"/>
          <w:b/>
          <w:bCs/>
          <w:iCs/>
          <w:sz w:val="26"/>
          <w:szCs w:val="26"/>
          <w:highlight w:val="none"/>
        </w:rPr>
      </w:pPr>
      <w:r>
        <w:rPr>
          <w:b/>
          <w:bCs/>
          <w:sz w:val="26"/>
          <w:szCs w:val="26"/>
        </w:rPr>
        <w:t xml:space="preserve">b) Theo thông tin trên hệ thống IPCAS</w:t>
      </w:r>
      <w:r>
        <w:rPr>
          <w:rFonts w:eastAsiaTheme="minorHAnsi"/>
          <w:b/>
          <w:bCs/>
          <w:iCs/>
          <w:sz w:val="26"/>
          <w:szCs w:val="26"/>
          <w:highlight w:val="none"/>
        </w:rPr>
      </w:r>
      <w:r>
        <w:rPr>
          <w:rFonts w:eastAsiaTheme="minorHAnsi"/>
          <w:b/>
          <w:bCs/>
          <w:iCs/>
          <w:sz w:val="26"/>
          <w:szCs w:val="26"/>
          <w:highlight w:val="none"/>
        </w:rPr>
      </w:r>
    </w:p>
    <w:p>
      <w:pPr>
        <w:pBdr/>
        <w:spacing/>
        <w:ind w:firstLine="567"/>
        <w:jc w:val="right"/>
        <w:rPr>
          <w:rFonts w:eastAsia="Calibri" w:eastAsiaTheme="minorHAnsi"/>
          <w:b/>
          <w:iCs/>
          <w:sz w:val="26"/>
          <w:szCs w:val="28"/>
        </w:rPr>
      </w:pPr>
      <w:r>
        <w:rPr>
          <w:b/>
          <w:bCs/>
          <w:i/>
          <w:iCs/>
          <w:sz w:val="26"/>
          <w:szCs w:val="26"/>
        </w:rPr>
        <w:t xml:space="preserve">Đơn vị: đồng</w:t>
      </w:r>
      <w:r>
        <w:rPr>
          <w:rFonts w:eastAsia="Calibri" w:eastAsiaTheme="minorHAnsi"/>
          <w:b/>
          <w:iCs/>
          <w:sz w:val="26"/>
          <w:szCs w:val="28"/>
        </w:rPr>
      </w:r>
      <w:r>
        <w:rPr>
          <w:rFonts w:eastAsia="Calibri" w:eastAsiaTheme="minorHAnsi"/>
          <w:b/>
          <w:iCs/>
          <w:sz w:val="26"/>
          <w:szCs w:val="28"/>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b/>
                <w:bCs/>
              </w:rPr>
            </w:pPr>
            <w:r>
              <w:rPr>
                <w:rFonts w:ascii="Times New Roman" w:hAnsi="Times New Roman" w:cs="Times New Roman"/>
                <w:b/>
                <w:bCs/>
                <w:sz w:val="24"/>
                <w:szCs w:val="24"/>
              </w:rPr>
              <w:t xml:space="preserve">STT</w:t>
            </w:r>
            <w:r>
              <w:rPr>
                <w:b/>
                <w:bCs/>
              </w:rPr>
            </w:r>
            <w:r>
              <w:rPr>
                <w:b/>
                <w:bCs/>
              </w:rP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Tên khách hàng</w:t>
            </w:r>
            <w:r>
              <w:rPr>
                <w:b/>
                <w:bCs/>
              </w:rPr>
            </w:r>
            <w:r>
              <w:rPr>
                <w:b/>
                <w:bCs/>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b/>
                <w:bCs/>
              </w:rPr>
            </w:pPr>
            <w:r>
              <w:rPr>
                <w:rFonts w:ascii="Times New Roman" w:hAnsi="Times New Roman" w:cs="Times New Roman"/>
                <w:b/>
                <w:bCs/>
                <w:sz w:val="24"/>
                <w:szCs w:val="24"/>
              </w:rPr>
              <w:t xml:space="preserve">Mã KH</w:t>
            </w:r>
            <w:r>
              <w:rPr>
                <w:b/>
                <w:bCs/>
              </w:rPr>
            </w:r>
            <w:r>
              <w:rPr>
                <w:b/>
                <w:bCs/>
              </w:rP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b/>
                <w:bCs/>
              </w:rPr>
            </w:pPr>
            <w:r>
              <w:rPr>
                <w:rFonts w:ascii="Times New Roman" w:hAnsi="Times New Roman" w:cs="Times New Roman"/>
                <w:b/>
                <w:bCs/>
                <w:sz w:val="24"/>
                <w:szCs w:val="24"/>
              </w:rPr>
              <w:t xml:space="preserve">Cam kết cấp tín dụng</w:t>
            </w:r>
            <w:r>
              <w:rPr>
                <w:b/>
                <w:bCs/>
              </w:rPr>
            </w:r>
            <w:r>
              <w:rPr>
                <w:b/>
                <w:bCs/>
              </w:rPr>
            </w:r>
          </w:p>
        </w:tc>
        <w:tc>
          <w:tcPr>
            <w:gridSpan w:val="2"/>
            <w:tcBorders>
              <w:top w:val="single" w:color="auto" w:sz="4" w:space="0"/>
              <w:left w:val="single" w:color="auto" w:sz="4" w:space="0"/>
              <w:bottom w:val="single" w:color="auto" w:sz="4" w:space="0"/>
              <w:right w:val="single" w:color="auto" w:sz="4" w:space="0"/>
            </w:tcBorders>
            <w:tcW w:w="1583"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Tổng dư nợ</w:t>
            </w:r>
            <w:r>
              <w:rPr>
                <w:b/>
                <w:bCs/>
              </w:rPr>
            </w:r>
            <w:r>
              <w:rPr>
                <w:b/>
                <w:bCs/>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b/>
                <w:bCs/>
              </w:rPr>
            </w:pPr>
            <w:r>
              <w:rPr>
                <w:rFonts w:ascii="Times New Roman" w:hAnsi="Times New Roman" w:cs="Times New Roman"/>
                <w:b/>
                <w:bCs/>
                <w:sz w:val="24"/>
                <w:szCs w:val="24"/>
              </w:rPr>
              <w:t xml:space="preserve">Cấp phê duyệt</w:t>
            </w:r>
            <w:r>
              <w:rPr>
                <w:b/>
                <w:bCs/>
              </w:rPr>
            </w:r>
            <w:r>
              <w:rPr>
                <w:b/>
                <w:bCs/>
              </w:rP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b/>
                <w:bCs/>
              </w:rPr>
            </w:pPr>
            <w:r>
              <w:rPr>
                <w:rFonts w:ascii="Times New Roman" w:hAnsi="Times New Roman" w:cs="Times New Roman"/>
                <w:b/>
                <w:bCs/>
                <w:sz w:val="24"/>
                <w:szCs w:val="24"/>
              </w:rPr>
              <w:t xml:space="preserve">Xếp hạng khách hàng </w:t>
            </w:r>
            <w:r>
              <w:rPr>
                <w:b/>
                <w:bCs/>
              </w:rPr>
            </w:r>
            <w:r>
              <w:rPr>
                <w:b/>
                <w:bCs/>
              </w:rPr>
            </w:r>
          </w:p>
        </w:tc>
      </w:tr>
      <w:tr>
        <w:trPr>
          <w:tblHeader/>
        </w:trPr>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b/>
                <w:bCs/>
              </w:rPr>
            </w:pPr>
            <w:r>
              <w:rPr>
                <w:rFonts w:ascii="Times New Roman" w:hAnsi="Times New Roman" w:cs="Times New Roman"/>
                <w:b/>
                <w:bCs/>
                <w:sz w:val="24"/>
                <w:szCs w:val="24"/>
              </w:rPr>
              <w:t xml:space="preserve">Ngắn hạn</w:t>
            </w:r>
            <w:r>
              <w:rPr>
                <w:b/>
                <w:bCs/>
              </w:rPr>
            </w:r>
            <w:r>
              <w:rPr>
                <w:b/>
                <w:bCs/>
              </w:rP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TDH</w:t>
            </w:r>
            <w:r>
              <w:rPr>
                <w:b/>
                <w:bCs/>
              </w:rPr>
            </w:r>
            <w:r>
              <w:rPr>
                <w:b/>
                <w:bCs/>
              </w:rP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pPr>
            <w:r>
              <w:rPr>
                <w:rFonts w:ascii="Times New Roman" w:hAnsi="Times New Roman" w:cs="Times New Roman"/>
                <w:sz w:val="24"/>
                <w:szCs w:val="24"/>
              </w:rPr>
              <w:t xml:space="preserve">[#Người có liên quan][STT]</w:t>
            </w: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[NLQ.Tên tổ chức/Cá nhân]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pPr>
            <w:r>
              <w:t xml:space="preserve">[NLQ.Mã khách hàng]</w:t>
            </w: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[NLQ.Tổng số dư cấp tín dụng]</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[NLQ.Dư nợ ngắn hạn]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[NLQ.Dư nợ trung dài hạn]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pPr>
            <w:r>
              <w:t xml:space="preserve">[NLQ.Cấp phê duyệt]</w:t>
            </w: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[NLQ.Xếp hạng tín dụng]</w:t>
            </w:r>
            <w:r>
              <w:rPr>
                <w:rFonts w:ascii="Times New Roman" w:hAnsi="Times New Roman" w:cs="Times New Roman"/>
                <w:sz w:val="24"/>
                <w:szCs w:val="24"/>
              </w:rPr>
              <w:t xml:space="preserve">[/</w:t>
            </w:r>
            <w:r>
              <w:rPr>
                <w:rFonts w:ascii="Times New Roman" w:hAnsi="Times New Roman" w:cs="Times New Roman"/>
                <w:sz w:val="24"/>
                <w:szCs w:val="24"/>
              </w:rPr>
              <w:t xml:space="preserve">Người có liên quan</w:t>
            </w:r>
            <w:r>
              <w:rPr>
                <w:rFonts w:ascii="Times New Roman" w:hAnsi="Times New Roman" w:cs="Times New Roman"/>
                <w:sz w:val="24"/>
                <w:szCs w:val="24"/>
              </w:rPr>
              <w:t xml:space="preserve">]</w:t>
            </w:r>
            <w:r/>
          </w:p>
        </w:tc>
      </w:tr>
    </w:tbl>
    <w:p>
      <w:pPr>
        <w:pBdr/>
        <w:tabs>
          <w:tab w:val="left" w:leader="none" w:pos="567"/>
        </w:tabs>
        <w:spacing/>
        <w:ind w:firstLine="567"/>
        <w:contextualSpacing w:val="true"/>
        <w:jc w:val="both"/>
        <w:rPr>
          <w:b/>
          <w:sz w:val="26"/>
          <w:szCs w:val="28"/>
        </w:rPr>
      </w:pPr>
      <w:r>
        <w:tab/>
      </w:r>
      <w:r>
        <w:rPr>
          <w:rFonts w:ascii="Times New Roman" w:hAnsi="Times New Roman" w:cs="Times New Roman"/>
          <w:b/>
          <w:bCs/>
          <w:sz w:val="26"/>
          <w:szCs w:val="26"/>
        </w:rPr>
        <w:t xml:space="preserve">2. Xếp hạng khách hàng trên hệ thống xếp hạng tín dụng  nội bộ </w:t>
      </w:r>
      <w:r>
        <w:rPr>
          <w:b/>
          <w:sz w:val="26"/>
          <w:szCs w:val="28"/>
        </w:rPr>
      </w:r>
      <w:r>
        <w:rPr>
          <w:b/>
          <w:sz w:val="26"/>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b/>
                <w:sz w:val="26"/>
                <w:szCs w:val="28"/>
              </w:rPr>
            </w:pPr>
            <w:r>
              <w:rPr>
                <w:rFonts w:ascii="Times New Roman" w:hAnsi="Times New Roman" w:cs="Times New Roman"/>
                <w:b/>
                <w:bCs/>
                <w:sz w:val="26"/>
                <w:szCs w:val="26"/>
              </w:rPr>
              <w:t xml:space="preserve">Thời điểm đánh giá</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b/>
                <w:sz w:val="26"/>
                <w:szCs w:val="28"/>
              </w:rPr>
            </w:pPr>
            <w:r>
              <w:rPr>
                <w:rFonts w:ascii="Times New Roman" w:hAnsi="Times New Roman" w:cs="Times New Roman"/>
                <w:b/>
                <w:bCs/>
                <w:sz w:val="26"/>
                <w:szCs w:val="26"/>
              </w:rPr>
              <w:t xml:space="preserve">Xếp hạng</w:t>
            </w:r>
            <w:r>
              <w:rPr>
                <w:b/>
                <w:sz w:val="26"/>
                <w:szCs w:val="28"/>
              </w:rPr>
            </w:r>
            <w:r>
              <w:rPr>
                <w:b/>
                <w:sz w:val="26"/>
                <w:szCs w:val="28"/>
              </w:rPr>
            </w:r>
          </w:p>
        </w:tc>
      </w:tr>
      <w:t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sz w:val="26"/>
                <w:szCs w:val="28"/>
              </w:rPr>
            </w:pPr>
            <w:r>
              <w:rPr>
                <w:rFonts w:ascii="Times New Roman" w:hAnsi="Times New Roman" w:cs="Times New Roman"/>
                <w:sz w:val="26"/>
                <w:szCs w:val="26"/>
              </w:rPr>
            </w:r>
            <w:r>
              <w:rPr>
                <w:rFonts w:ascii="Times New Roman" w:hAnsi="Times New Roman" w:cs="Times New Roman"/>
                <w:sz w:val="26"/>
                <w:szCs w:val="26"/>
              </w:rPr>
              <w:t xml:space="preserve">[Kỳ chấm điểm]</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sz w:val="26"/>
                <w:szCs w:val="28"/>
              </w:rPr>
            </w:pPr>
            <w:r>
              <w:rPr>
                <w:rFonts w:ascii="Times New Roman" w:hAnsi="Times New Roman" w:cs="Times New Roman"/>
                <w:sz w:val="26"/>
                <w:szCs w:val="26"/>
              </w:rPr>
            </w:r>
            <w:r>
              <w:rPr>
                <w:rFonts w:ascii="Times New Roman" w:hAnsi="Times New Roman" w:cs="Times New Roman"/>
                <w:sz w:val="26"/>
                <w:szCs w:val="26"/>
              </w:rPr>
              <w:t xml:space="preserve">[Xếp hạng tại Agribank]</w:t>
            </w:r>
            <w:r>
              <w:rPr>
                <w:sz w:val="26"/>
                <w:szCs w:val="28"/>
              </w:rPr>
            </w:r>
            <w:r>
              <w:rPr>
                <w:sz w:val="26"/>
                <w:szCs w:val="28"/>
              </w:rPr>
            </w:r>
          </w:p>
        </w:tc>
      </w:tr>
    </w:tbl>
    <w:p>
      <w:pPr>
        <w:pBdr/>
        <w:spacing/>
        <w:ind w:firstLine="567"/>
        <w:jc w:val="both"/>
        <w:rPr>
          <w:rFonts w:eastAsia="Calibri"/>
          <w:b/>
          <w:sz w:val="26"/>
          <w:szCs w:val="28"/>
        </w:rPr>
      </w:pPr>
      <w:r>
        <w:rPr>
          <w:b/>
          <w:bCs/>
          <w:sz w:val="26"/>
          <w:szCs w:val="26"/>
        </w:rPr>
        <w:t xml:space="preserve">VI. Phương án sử dụng vốn </w:t>
      </w:r>
      <w:r>
        <w:rPr>
          <w:rFonts w:eastAsia="Calibri"/>
          <w:b/>
          <w:sz w:val="26"/>
          <w:szCs w:val="28"/>
        </w:rPr>
      </w:r>
      <w:r>
        <w:rPr>
          <w:rFonts w:eastAsia="Calibri"/>
          <w:b/>
          <w:sz w:val="26"/>
          <w:szCs w:val="28"/>
        </w:rPr>
      </w:r>
    </w:p>
    <w:p>
      <w:pPr>
        <w:numPr>
          <w:ilvl w:val="4"/>
          <w:numId w:val="0"/>
        </w:numPr>
        <w:pBdr/>
        <w:spacing/>
        <w:ind w:firstLine="567"/>
        <w:jc w:val="both"/>
        <w:rPr>
          <w:rFonts w:eastAsia="Calibri"/>
          <w:b/>
          <w:sz w:val="26"/>
          <w:szCs w:val="28"/>
        </w:rPr>
      </w:pPr>
      <w:r>
        <w:rPr>
          <w:b/>
          <w:bCs/>
          <w:sz w:val="26"/>
          <w:szCs w:val="26"/>
        </w:rPr>
        <w:t xml:space="preserve">1. Hồ sơ khách hàng đề nghị vay vốn </w:t>
      </w:r>
      <w:r>
        <w:rPr>
          <w:rFonts w:eastAsia="Calibri"/>
          <w:b/>
          <w:sz w:val="26"/>
          <w:szCs w:val="28"/>
        </w:rPr>
      </w:r>
      <w:r>
        <w:rPr>
          <w:rFonts w:eastAsia="Calibri"/>
          <w:b/>
          <w:sz w:val="26"/>
          <w:szCs w:val="28"/>
        </w:rPr>
      </w:r>
    </w:p>
    <w:p>
      <w:pPr>
        <w:numPr>
          <w:ilvl w:val="4"/>
          <w:numId w:val="0"/>
        </w:numPr>
        <w:pBdr/>
        <w:spacing/>
        <w:ind w:firstLine="567"/>
        <w:jc w:val="both"/>
        <w:rPr>
          <w:rFonts w:eastAsia="Calibri"/>
          <w:sz w:val="26"/>
          <w:szCs w:val="28"/>
        </w:rPr>
      </w:pPr>
      <w:r>
        <w:rPr>
          <w:sz w:val="26"/>
          <w:szCs w:val="26"/>
        </w:rPr>
        <w:t xml:space="preserve">- Phương án sử dụng vốn năm [Năm]</w:t>
      </w:r>
      <w:r>
        <w:rPr>
          <w:rFonts w:eastAsia="Calibri"/>
          <w:sz w:val="26"/>
          <w:szCs w:val="28"/>
        </w:rPr>
      </w:r>
      <w:r>
        <w:rPr>
          <w:rFonts w:eastAsia="Calibri"/>
          <w:sz w:val="26"/>
          <w:szCs w:val="28"/>
        </w:rPr>
      </w:r>
    </w:p>
    <w:p>
      <w:pPr>
        <w:pBdr/>
        <w:spacing/>
        <w:ind w:firstLine="567"/>
        <w:jc w:val="both"/>
        <w:rPr>
          <w:bCs/>
          <w:sz w:val="26"/>
          <w:szCs w:val="28"/>
        </w:rPr>
      </w:pPr>
      <w:r>
        <w:rPr>
          <w:rFonts w:ascii="Times New Roman" w:hAnsi="Times New Roman" w:cs="Times New Roman"/>
          <w:sz w:val="26"/>
          <w:szCs w:val="26"/>
        </w:rPr>
        <w:t xml:space="preserve">- Nghị quyết của HĐQT/HĐTV về việc thông qua PASXKD, việc vay vốn và thực hiện biện pháp bảo đảm tiền vay tại ngân hàng;</w:t>
      </w:r>
      <w:r>
        <w:rPr>
          <w:bCs/>
          <w:sz w:val="26"/>
          <w:szCs w:val="28"/>
        </w:rPr>
      </w:r>
      <w:r>
        <w:rPr>
          <w:bCs/>
          <w:sz w:val="26"/>
          <w:szCs w:val="28"/>
        </w:rPr>
      </w:r>
    </w:p>
    <w:p>
      <w:pPr>
        <w:pBdr/>
        <w:spacing/>
        <w:ind w:firstLine="567"/>
        <w:jc w:val="both"/>
        <w:rPr>
          <w:sz w:val="26"/>
          <w:szCs w:val="28"/>
        </w:rPr>
      </w:pPr>
      <w:r>
        <w:rPr>
          <w:rFonts w:ascii="Times New Roman" w:hAnsi="Times New Roman" w:cs="Times New Roman"/>
          <w:sz w:val="26"/>
          <w:szCs w:val="26"/>
        </w:rPr>
        <w:t xml:space="preserve">- Các tài liệu liên quan đến phương án sử dụng vốn của khách hàng: Kế hoạch sản xuất kinh doanh (nếu có); Kế hoạch tài chính (nếu có); Hợp đồng kinh tế đầu vào, đầu ra...</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2. Nhận xét: Hồ sơ do khách hàng cung cấp đầy đủ, hợp lệ, hợp pháp</w:t>
      </w:r>
      <w:r>
        <w:rPr>
          <w:b/>
          <w:sz w:val="26"/>
          <w:szCs w:val="28"/>
        </w:rPr>
      </w:r>
      <w:r>
        <w:rPr>
          <w:b/>
          <w:sz w:val="26"/>
          <w:szCs w:val="28"/>
        </w:rPr>
      </w:r>
    </w:p>
    <w:p>
      <w:pPr>
        <w:pBdr/>
        <w:spacing/>
        <w:ind w:firstLine="567"/>
        <w:jc w:val="both"/>
        <w:rPr>
          <w:b/>
          <w:bCs/>
          <w:sz w:val="26"/>
          <w:szCs w:val="28"/>
        </w:rPr>
      </w:pPr>
      <w:r>
        <w:rPr>
          <w:rFonts w:ascii="Times New Roman" w:hAnsi="Times New Roman" w:cs="Times New Roman"/>
          <w:b/>
          <w:bCs/>
          <w:sz w:val="26"/>
          <w:szCs w:val="26"/>
        </w:rPr>
        <w:t xml:space="preserve">VII. Đánh giá bảo đảm tiền vay</w:t>
      </w:r>
      <w:r>
        <w:rPr>
          <w:b/>
          <w:bCs/>
          <w:sz w:val="26"/>
          <w:szCs w:val="28"/>
        </w:rPr>
      </w:r>
      <w:r>
        <w:rPr>
          <w:b/>
          <w:bCs/>
          <w:sz w:val="26"/>
          <w:szCs w:val="28"/>
        </w:rPr>
      </w:r>
    </w:p>
    <w:p>
      <w:pPr>
        <w:pBdr/>
        <w:shd w:val="clear" w:color="auto" w:fill="ffffff"/>
        <w:spacing/>
        <w:ind w:firstLine="567"/>
        <w:jc w:val="both"/>
        <w:rPr>
          <w:rFonts w:eastAsia="Calibri"/>
          <w:b/>
          <w:sz w:val="26"/>
          <w:szCs w:val="28"/>
        </w:rPr>
      </w:pPr>
      <w:r>
        <w:rPr>
          <w:b/>
          <w:bCs/>
          <w:sz w:val="26"/>
          <w:szCs w:val="26"/>
        </w:rPr>
        <w:t xml:space="preserve">Tài sản bảo đảm tiền vay: (có báo cáo thẩm định tài sản kèm theo)</w:t>
      </w:r>
      <w:r>
        <w:rPr>
          <w:rFonts w:eastAsia="Calibri"/>
          <w:b/>
          <w:sz w:val="26"/>
          <w:szCs w:val="28"/>
        </w:rPr>
      </w:r>
      <w:r>
        <w:rPr>
          <w:rFonts w:eastAsia="Calibri"/>
          <w:b/>
          <w:sz w:val="26"/>
          <w:szCs w:val="28"/>
        </w:rPr>
      </w:r>
    </w:p>
    <w:p>
      <w:pPr>
        <w:pBdr/>
        <w:spacing/>
        <w:ind/>
        <w:jc w:val="right"/>
        <w:rPr>
          <w:rFonts w:eastAsia="Calibri"/>
          <w:bCs/>
          <w:i/>
          <w:sz w:val="26"/>
          <w:szCs w:val="26"/>
        </w:rPr>
      </w:pPr>
      <w:r>
        <w:rPr>
          <w:i/>
          <w:iCs/>
          <w:sz w:val="26"/>
          <w:szCs w:val="26"/>
        </w:rPr>
        <w:t xml:space="preserve">Đơn vị: đồng</w:t>
      </w:r>
      <w:r>
        <w:rPr>
          <w:rFonts w:eastAsia="Calibri"/>
          <w:bCs/>
          <w:i/>
          <w:sz w:val="26"/>
          <w:szCs w:val="26"/>
        </w:rPr>
      </w:r>
      <w:r>
        <w:rPr>
          <w:rFonts w:eastAsia="Calibri"/>
          <w:bCs/>
          <w:i/>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46"/>
        <w:gridCol w:w="3841"/>
        <w:gridCol w:w="2179"/>
        <w:gridCol w:w="2179"/>
        <w:gridCol w:w="2187"/>
      </w:tblGrid>
      <w:tr>
        <w:trPr>
          <w:tblHeade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pPr>
              <w:pBdr/>
              <w:spacing/>
              <w:ind/>
              <w:jc w:val="center"/>
              <w:rPr>
                <w:rFonts w:eastAsia="Calibri"/>
                <w:sz w:val="26"/>
              </w:rPr>
            </w:pPr>
            <w:r>
              <w:rPr>
                <w:b/>
                <w:bCs/>
                <w:sz w:val="26"/>
                <w:szCs w:val="26"/>
              </w:rPr>
              <w:t xml:space="preserve">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center"/>
              <w:rPr>
                <w:rFonts w:eastAsia="Calibri"/>
                <w:sz w:val="26"/>
              </w:rPr>
            </w:pPr>
            <w:r>
              <w:rPr>
                <w:b/>
                <w:bCs/>
                <w:sz w:val="26"/>
                <w:szCs w:val="26"/>
              </w:rPr>
              <w:t xml:space="preserve">Loại tài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28B0DE01">
            <w:pPr>
              <w:pBdr/>
              <w:spacing/>
              <w:ind/>
              <w:jc w:val="center"/>
              <w:rPr>
                <w:b/>
                <w:bCs/>
                <w:sz w:val="26"/>
                <w:szCs w:val="26"/>
              </w:rPr>
            </w:pPr>
            <w:r>
              <w:rPr>
                <w:b/>
                <w:bCs/>
                <w:sz w:val="26"/>
                <w:szCs w:val="26"/>
              </w:rPr>
              <w:t xml:space="preserve">Số GCN</w:t>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center"/>
              <w:rPr>
                <w:rFonts w:eastAsia="Calibri"/>
                <w:sz w:val="26"/>
              </w:rPr>
            </w:pPr>
            <w:r>
              <w:rPr>
                <w:b/>
                <w:bCs/>
                <w:sz w:val="26"/>
                <w:szCs w:val="26"/>
              </w:rPr>
              <w:t xml:space="preserve">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center"/>
              <w:rPr>
                <w:rFonts w:eastAsia="Calibri"/>
                <w:sz w:val="26"/>
              </w:rPr>
            </w:pPr>
            <w:r>
              <w:rPr>
                <w:b/>
                <w:bCs/>
                <w:sz w:val="26"/>
                <w:szCs w:val="26"/>
              </w:rPr>
              <w:t xml:space="preserve">Phạm vi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pPr>
              <w:pBdr/>
              <w:spacing/>
              <w:ind/>
              <w:jc w:val="center"/>
              <w:rPr>
                <w:rFonts w:eastAsia="Calibri"/>
                <w:sz w:val="26"/>
              </w:rPr>
            </w:pPr>
            <w:r>
              <w:rPr>
                <w:sz w:val="26"/>
                <w:szCs w:val="26"/>
              </w:rPr>
              <w:t xml:space="preserve">[#Tài sản bảo đảm/Bất động sản][STT]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both"/>
              <w:rPr>
                <w:rFonts w:eastAsia="Calibri"/>
                <w:sz w:val="26"/>
              </w:rPr>
            </w:pPr>
            <w:r>
              <w:rPr>
                <w:sz w:val="26"/>
                <w:szCs w:val="26"/>
              </w:rPr>
            </w:r>
            <w:r>
              <w:rPr>
                <w:sz w:val="26"/>
                <w:szCs w:val="26"/>
              </w:rPr>
              <w:t xml:space="preserve">[BĐS.Loại bất động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4909B3F7">
            <w:pPr>
              <w:pBdr/>
              <w:spacing/>
              <w:ind/>
              <w:jc w:val="center"/>
              <w:rPr>
                <w:sz w:val="26"/>
                <w:szCs w:val="26"/>
              </w:rPr>
            </w:pPr>
            <w:r>
              <w:rPr>
                <w:sz w:val="26"/>
                <w:szCs w:val="26"/>
              </w:rPr>
            </w:r>
            <w:r>
              <w:rPr>
                <w:sz w:val="26"/>
                <w:szCs w:val="26"/>
              </w:rPr>
              <w:t xml:space="preserve">[BĐS.Số GCN]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sz w:val="26"/>
              </w:rPr>
            </w:pPr>
            <w:r>
              <w:rPr>
                <w:sz w:val="26"/>
                <w:szCs w:val="26"/>
              </w:rPr>
            </w:r>
            <w:r>
              <w:rPr>
                <w:sz w:val="26"/>
                <w:szCs w:val="26"/>
              </w:rPr>
              <w:t xml:space="preserve">[BĐS.Giá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sz w:val="26"/>
              </w:rPr>
            </w:pPr>
            <w:r>
              <w:rPr>
                <w:sz w:val="26"/>
                <w:szCs w:val="26"/>
              </w:rPr>
            </w:r>
            <w:r>
              <w:rPr>
                <w:sz w:val="26"/>
                <w:szCs w:val="26"/>
              </w:rPr>
              <w:t xml:space="preserve">[BĐS.Nghĩa vụ bảo đảm]</w:t>
            </w:r>
            <w:r>
              <w:rPr>
                <w:sz w:val="26"/>
                <w:szCs w:val="26"/>
              </w:rPr>
              <w:t xml:space="preserve">[/Tài sản bảo đảm/Bất động sản]</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14:paraId="3F7BE19F">
            <w:pPr>
              <w:pBdr/>
              <w:spacing/>
              <w:ind/>
              <w:rPr/>
            </w:pPr>
            <w:r>
              <w:rPr>
                <w:sz w:val="26"/>
                <w:szCs w:val="26"/>
              </w:rPr>
              <w:t xml:space="preserve">[#Tài sản bảo đảm/Động sản][STT]</w:t>
            </w:r>
            <w:r>
              <w:rPr>
                <w:rFonts w:eastAsia="Calibri"/>
                <w:sz w:val="26"/>
              </w:rPr>
            </w: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14:paraId="4CFA2080">
            <w:pPr>
              <w:pBdr/>
              <w:spacing/>
              <w:ind/>
              <w:jc w:val="both"/>
              <w:rPr>
                <w:rFonts w:eastAsia="Calibri"/>
                <w:sz w:val="26"/>
              </w:rPr>
            </w:pPr>
            <w:r>
              <w:rPr>
                <w:sz w:val="26"/>
                <w:szCs w:val="26"/>
              </w:rPr>
            </w:r>
            <w:r>
              <w:rPr>
                <w:sz w:val="26"/>
                <w:szCs w:val="26"/>
              </w:rPr>
              <w:t xml:space="preserve">[ĐS.Loại động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5EB3B7B4">
            <w:pPr>
              <w:pBdr/>
              <w:spacing/>
              <w:ind/>
              <w:jc w:val="center"/>
              <w:rPr>
                <w:sz w:val="26"/>
                <w:szCs w:val="26"/>
              </w:rPr>
            </w:pPr>
            <w:r>
              <w:rPr>
                <w:sz w:val="26"/>
                <w:szCs w:val="26"/>
              </w:rPr>
            </w:r>
            <w:r>
              <w:rPr>
                <w:sz w:val="26"/>
                <w:szCs w:val="26"/>
              </w:rPr>
              <w:t xml:space="preserve">[ĐS.Số GCN]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sz w:val="26"/>
              </w:rPr>
            </w:pPr>
            <w:r>
              <w:rPr>
                <w:sz w:val="26"/>
                <w:szCs w:val="26"/>
              </w:rPr>
              <w:t xml:space="preserve">[ĐS.Giá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sz w:val="26"/>
              </w:rPr>
            </w:pPr>
            <w:r>
              <w:rPr>
                <w:sz w:val="26"/>
                <w:szCs w:val="26"/>
              </w:rPr>
              <w:t xml:space="preserve">[ĐS.Nghĩa vụ bảo đảm]</w:t>
            </w:r>
            <w:r>
              <w:rPr>
                <w:sz w:val="26"/>
                <w:szCs w:val="26"/>
              </w:rPr>
              <w:t xml:space="preserve">[/Tài sản bảo đảm/Động sản]</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textDirection w:val="lrTb"/>
            <w:noWrap w:val="false"/>
          </w:tcPr>
          <w:p>
            <w:pPr>
              <w:pBdr/>
              <w:spacing/>
              <w:ind/>
              <w:jc w:val="center"/>
              <w:rPr>
                <w:rFonts w:eastAsia="Calibri"/>
                <w:b/>
                <w:sz w:val="26"/>
              </w:rPr>
            </w:pPr>
            <w:r>
              <w:rPr>
                <w:rFonts w:eastAsia="Calibri"/>
                <w:b/>
                <w:sz w:val="26"/>
              </w:rPr>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both"/>
              <w:rPr>
                <w:rFonts w:eastAsia="Calibri"/>
                <w:b/>
                <w:sz w:val="26"/>
              </w:rPr>
            </w:pPr>
            <w:r>
              <w:rPr>
                <w:b/>
                <w:bCs/>
                <w:sz w:val="26"/>
                <w:szCs w:val="26"/>
              </w:rPr>
              <w:t xml:space="preserve">Tổng cộng</w:t>
            </w:r>
            <w:r>
              <w:rPr>
                <w:rFonts w:eastAsia="Calibri"/>
                <w:b/>
                <w:sz w:val="26"/>
              </w:rPr>
            </w:r>
            <w:r>
              <w:rPr>
                <w:rFonts w:eastAsia="Calibri"/>
                <w:b/>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476712BE">
            <w:pPr>
              <w:pBdr/>
              <w:spacing/>
              <w:ind/>
              <w:rPr>
                <w:b/>
                <w:bCs/>
                <w:sz w:val="26"/>
                <w:szCs w:val="26"/>
              </w:rPr>
            </w:pPr>
            <w:r>
              <w:rPr>
                <w:b/>
                <w:bCs/>
                <w:sz w:val="26"/>
                <w:szCs w:val="26"/>
              </w:rPr>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b/>
                <w:sz w:val="26"/>
              </w:rPr>
            </w:pPr>
            <w:r>
              <w:rPr>
                <w:b/>
                <w:bCs/>
                <w:sz w:val="26"/>
                <w:szCs w:val="26"/>
              </w:rPr>
            </w:r>
            <w:r>
              <w:rPr>
                <w:b/>
                <w:bCs/>
                <w:sz w:val="26"/>
                <w:szCs w:val="26"/>
              </w:rPr>
              <w:t xml:space="preserve">[Tổng giá trị tài sản bảo đảm]</w:t>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b/>
                <w:sz w:val="26"/>
              </w:rPr>
            </w:pPr>
            <w:r>
              <w:rPr>
                <w:b/>
                <w:bCs/>
                <w:sz w:val="26"/>
                <w:szCs w:val="26"/>
              </w:rPr>
            </w:r>
            <w:r>
              <w:rPr>
                <w:b/>
                <w:bCs/>
                <w:sz w:val="26"/>
                <w:szCs w:val="26"/>
              </w:rPr>
              <w:t xml:space="preserve">[Tổng nghĩa vụ được bảo đảm]</w:t>
            </w:r>
            <w:r>
              <w:rPr>
                <w:rFonts w:eastAsia="Calibri"/>
                <w:b/>
                <w:sz w:val="26"/>
              </w:rPr>
            </w:r>
            <w:r>
              <w:rPr>
                <w:rFonts w:eastAsia="Calibri"/>
                <w:b/>
                <w:sz w:val="26"/>
              </w:rPr>
            </w:r>
          </w:p>
        </w:tc>
      </w:tr>
    </w:tbl>
    <w:p>
      <w:pPr>
        <w:pBdr/>
        <w:spacing/>
        <w:ind w:firstLine="567"/>
        <w:jc w:val="both"/>
        <w:rPr>
          <w:rFonts w:eastAsia="Calibri"/>
          <w:bCs/>
          <w:sz w:val="26"/>
          <w:szCs w:val="28"/>
        </w:rPr>
      </w:pPr>
      <w:r>
        <w:rPr>
          <w:sz w:val="26"/>
          <w:szCs w:val="26"/>
        </w:rPr>
        <w:t xml:space="preserve">Kết luận: Tài sản bảo đảm không thuộc Danh mục tài sản không được nhận làm tài sản bảo đảm; đủ điều kiện nhận làm TSBĐ theo quy định.</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VIII. Đánh giá và đề xuất của Người quan hệ khách hàng</w:t>
      </w:r>
      <w:r>
        <w:rPr>
          <w:b/>
          <w:bCs/>
          <w:sz w:val="26"/>
          <w:szCs w:val="28"/>
        </w:rPr>
      </w:r>
      <w:r>
        <w:rPr>
          <w:b/>
          <w:bCs/>
          <w:sz w:val="26"/>
          <w:szCs w:val="28"/>
        </w:rPr>
      </w:r>
    </w:p>
    <w:p>
      <w:pPr>
        <w:pBdr/>
        <w:tabs>
          <w:tab w:val="left" w:leader="none" w:pos="0"/>
          <w:tab w:val="num" w:leader="none" w:pos="426"/>
          <w:tab w:val="left" w:leader="none" w:pos="567"/>
        </w:tabs>
        <w:spacing/>
        <w:ind w:firstLine="567"/>
        <w:jc w:val="both"/>
        <w:rPr>
          <w:b/>
          <w:bCs/>
          <w:sz w:val="26"/>
          <w:szCs w:val="28"/>
        </w:rPr>
      </w:pPr>
      <w:r>
        <w:rPr>
          <w:rFonts w:ascii="Times New Roman" w:hAnsi="Times New Roman" w:cs="Times New Roman"/>
          <w:b/>
          <w:bCs/>
          <w:sz w:val="26"/>
          <w:szCs w:val="26"/>
        </w:rPr>
        <w:t xml:space="preserve">1. Đánh giá</w:t>
      </w:r>
      <w:r>
        <w:rPr>
          <w:b/>
          <w:bCs/>
          <w:sz w:val="26"/>
          <w:szCs w:val="28"/>
        </w:rPr>
      </w:r>
      <w:r>
        <w:rPr>
          <w:b/>
          <w:bCs/>
          <w:sz w:val="26"/>
          <w:szCs w:val="28"/>
        </w:rPr>
      </w:r>
    </w:p>
    <w:p>
      <w:pPr>
        <w:pBdr/>
        <w:tabs>
          <w:tab w:val="left" w:leader="none" w:pos="851"/>
        </w:tabs>
        <w:spacing/>
        <w:ind w:firstLine="567"/>
        <w:jc w:val="both"/>
        <w:rPr>
          <w:rFonts w:eastAsia="Calibri"/>
          <w:sz w:val="26"/>
          <w:szCs w:val="26"/>
        </w:rPr>
      </w:pPr>
      <w:r>
        <w:rPr>
          <w:sz w:val="26"/>
          <w:szCs w:val="26"/>
        </w:rPr>
        <w:t xml:space="preserve">a) Hồ sơ vay vốn của Khách hàng: đầy đủ, hợp lệ, hợp pháp</w:t>
      </w:r>
      <w:r>
        <w:rPr>
          <w:rFonts w:eastAsia="Calibri"/>
          <w:sz w:val="26"/>
          <w:szCs w:val="26"/>
        </w:rPr>
      </w:r>
      <w:r>
        <w:rPr>
          <w:rFonts w:eastAsia="Calibri"/>
          <w:sz w:val="26"/>
          <w:szCs w:val="26"/>
        </w:rPr>
      </w:r>
    </w:p>
    <w:p w14:paraId="3979F963">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a) Hồ sơ vay vốn của Khách hàng: đầy đủ, hợp lệ, hợp pháp.</w:t>
      </w:r>
      <w:r/>
    </w:p>
    <w:p w14:paraId="3DA7DD4C">
      <w:pPr>
        <w:pBdr>
          <w:top w:val="none" w:color="000000" w:sz="4" w:space="0"/>
          <w:left w:val="none" w:color="000000" w:sz="4" w:space="0"/>
          <w:bottom w:val="none" w:color="000000" w:sz="4" w:space="0"/>
          <w:right w:val="none" w:color="000000" w:sz="4" w:space="0"/>
        </w:pBdr>
        <w:spacing w:line="276" w:lineRule="auto"/>
        <w:ind w:right="0" w:firstLine="567" w:left="0"/>
        <w:jc w:val="both"/>
        <w:rPr/>
      </w:pPr>
      <w:r>
        <w:rPr>
          <w:rFonts w:ascii="Times New Roman" w:hAnsi="Times New Roman" w:eastAsia="Times New Roman" w:cs="Times New Roman"/>
          <w:color w:val="000000"/>
          <w:sz w:val="26"/>
        </w:rPr>
        <w:t xml:space="preserve">b) Năng lực pháp luật dân sự của khách hàng, năng lực hành vi dân sự của người đại diện theo pháp luật tại thời điểm vay vốn: khách hàng có đầy đủ năng lực pháp luật dân sự, người đại diện theo pháp luật có đầy đủ năng lực hành vi dân sự, năng lực pháp luậ</w:t>
      </w:r>
      <w:r>
        <w:rPr>
          <w:rFonts w:ascii="Times New Roman" w:hAnsi="Times New Roman" w:eastAsia="Times New Roman" w:cs="Times New Roman"/>
          <w:color w:val="000000"/>
          <w:sz w:val="26"/>
        </w:rPr>
        <w:t xml:space="preserve">t dân sự.</w:t>
      </w:r>
      <w:r/>
    </w:p>
    <w:p w14:paraId="7D81B8F2">
      <w:pPr>
        <w:pBdr>
          <w:top w:val="none" w:color="000000" w:sz="4" w:space="0"/>
          <w:left w:val="none" w:color="000000" w:sz="4" w:space="0"/>
          <w:bottom w:val="none" w:color="000000" w:sz="4" w:space="0"/>
          <w:right w:val="none" w:color="000000" w:sz="4" w:space="0"/>
        </w:pBdr>
        <w:spacing w:line="276" w:lineRule="auto"/>
        <w:ind w:right="0" w:firstLine="567" w:left="0"/>
        <w:jc w:val="both"/>
        <w:rPr/>
      </w:pPr>
      <w:r>
        <w:rPr>
          <w:rFonts w:ascii="Times New Roman" w:hAnsi="Times New Roman" w:eastAsia="Times New Roman" w:cs="Times New Roman"/>
          <w:color w:val="000000"/>
          <w:sz w:val="26"/>
        </w:rPr>
        <w:t xml:space="preserve">c) Đánh giá tính hợp pháp của mục đích sử dụng vốn: mục đích sử dụng vốn hợp pháp; không thuộc các đối tượng cấm kinh doanh theo quy định của pháp luật, phù hợp với ngành nghề kinh doanh theo Giấy phép đăng ký kinh doanh của Công ty. Phương án kinh doanh đ</w:t>
      </w:r>
      <w:r>
        <w:rPr>
          <w:rFonts w:ascii="Times New Roman" w:hAnsi="Times New Roman" w:eastAsia="Times New Roman" w:cs="Times New Roman"/>
          <w:color w:val="000000"/>
          <w:sz w:val="26"/>
        </w:rPr>
        <w:t xml:space="preserve">ã được đã được cấp có thẩm quyền thông qua theo quy định tại Điều lệ công ty.</w:t>
      </w:r>
      <w:r/>
    </w:p>
    <w:p>
      <w:pPr>
        <w:pBdr/>
        <w:spacing/>
        <w:ind w:firstLine="567"/>
        <w:jc w:val="both"/>
        <w:rPr>
          <w:sz w:val="26"/>
          <w:szCs w:val="28"/>
        </w:rPr>
      </w:pPr>
      <w:r>
        <w:rPr>
          <w:rFonts w:ascii="Times New Roman" w:hAnsi="Times New Roman" w:cs="Times New Roman"/>
          <w:sz w:val="26"/>
          <w:szCs w:val="26"/>
        </w:rPr>
        <w:t xml:space="preserve">d) Bảo đảm tiền vay:</w:t>
      </w:r>
      <w:r>
        <w:rPr>
          <w:sz w:val="26"/>
          <w:szCs w:val="28"/>
        </w:rPr>
      </w:r>
      <w:r>
        <w:rPr>
          <w:sz w:val="26"/>
          <w:szCs w:val="28"/>
        </w:rPr>
      </w:r>
    </w:p>
    <w:p>
      <w:pPr>
        <w:pBdr/>
        <w:shd w:val="clear" w:color="auto" w:fill="ffffff"/>
        <w:spacing/>
        <w:ind w:firstLine="567"/>
        <w:jc w:val="both"/>
        <w:rPr>
          <w:rFonts w:eastAsia="Calibri"/>
          <w:sz w:val="26"/>
          <w:szCs w:val="28"/>
        </w:rPr>
      </w:pPr>
      <w:r>
        <w:rPr>
          <w:sz w:val="26"/>
          <w:szCs w:val="26"/>
        </w:rPr>
        <w:t xml:space="preserve">- Giá trị định giá tài sản bảo đảm: </w:t>
      </w:r>
      <w:r>
        <w:rPr>
          <w:b/>
          <w:bCs/>
          <w:sz w:val="26"/>
          <w:szCs w:val="26"/>
        </w:rPr>
        <w:t xml:space="preserve">[Tổng giá trị tài sản bảo đảm]</w:t>
      </w:r>
      <w:r>
        <w:rPr>
          <w:sz w:val="26"/>
          <w:szCs w:val="26"/>
        </w:rPr>
        <w:t xml:space="preserve"> đồng</w:t>
      </w:r>
      <w:r>
        <w:rPr>
          <w:rFonts w:eastAsia="Calibri"/>
          <w:sz w:val="26"/>
          <w:szCs w:val="28"/>
        </w:rPr>
      </w:r>
      <w:r>
        <w:rPr>
          <w:rFonts w:eastAsia="Calibri"/>
          <w:sz w:val="26"/>
          <w:szCs w:val="28"/>
        </w:rPr>
      </w:r>
    </w:p>
    <w:p>
      <w:pPr>
        <w:pBdr/>
        <w:shd w:val="clear" w:color="auto" w:fill="ffffff"/>
        <w:spacing/>
        <w:ind w:firstLine="567"/>
        <w:jc w:val="both"/>
        <w:rPr>
          <w:rFonts w:eastAsia="Calibri"/>
          <w:bCs/>
          <w:sz w:val="26"/>
          <w:szCs w:val="28"/>
        </w:rPr>
      </w:pPr>
      <w:r>
        <w:rPr>
          <w:sz w:val="26"/>
          <w:szCs w:val="26"/>
        </w:rPr>
        <w:t xml:space="preserve">- Phạm vi bảo đảm: </w:t>
      </w:r>
      <w:r>
        <w:rPr>
          <w:b/>
          <w:bCs/>
          <w:sz w:val="26"/>
          <w:szCs w:val="26"/>
        </w:rPr>
        <w:t xml:space="preserve">[Tổng nghĩa vụ được bảo đảm]</w:t>
      </w:r>
      <w:r>
        <w:rPr>
          <w:sz w:val="26"/>
          <w:szCs w:val="26"/>
        </w:rPr>
        <w:t xml:space="preserve"> đồng</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2. Đề xuất</w:t>
      </w:r>
      <w:r>
        <w:rPr>
          <w:b/>
          <w:bCs/>
          <w:sz w:val="26"/>
          <w:szCs w:val="28"/>
        </w:rPr>
      </w:r>
      <w:r>
        <w:rPr>
          <w:b/>
          <w:bCs/>
          <w:sz w:val="26"/>
          <w:szCs w:val="28"/>
        </w:rPr>
      </w:r>
    </w:p>
    <w:p>
      <w:pPr>
        <w:pBdr/>
        <w:spacing/>
        <w:ind w:firstLine="567"/>
        <w:jc w:val="both"/>
        <w:rPr>
          <w:bCs/>
          <w:sz w:val="26"/>
          <w:szCs w:val="28"/>
        </w:rPr>
      </w:pPr>
      <w:r>
        <w:rPr>
          <w:rFonts w:ascii="Times New Roman" w:hAnsi="Times New Roman" w:cs="Times New Roman"/>
          <w:sz w:val="26"/>
          <w:szCs w:val="26"/>
        </w:rPr>
        <w:t xml:space="preserve">Sau khi đánh giá khoản vay, Người quan hệ khách hàng đề xuất:</w:t>
      </w:r>
      <w:r>
        <w:rPr>
          <w:bCs/>
          <w:sz w:val="26"/>
          <w:szCs w:val="28"/>
        </w:rPr>
      </w:r>
      <w:r>
        <w:rPr>
          <w:bCs/>
          <w:sz w:val="26"/>
          <w:szCs w:val="28"/>
        </w:rPr>
      </w:r>
    </w:p>
    <w:p w14:paraId="01F6FF99">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Sau khi đánh giá khoản vay, Người quan hệ khách hàng đề xuất Phòng Thẩm định thực hiện thẩm định theo quy định. Nội dung cụ thể như sau:</w:t>
      </w:r>
      <w:r/>
    </w:p>
    <w:p w14:paraId="33601AF7">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Hạn mức cho vay tối đa: </w:t>
      </w:r>
      <w:r>
        <w:rPr>
          <w:rFonts w:ascii="Times New Roman" w:hAnsi="Times New Roman" w:eastAsia="Times New Roman" w:cs="Times New Roman"/>
          <w:color w:val="000000"/>
          <w:sz w:val="26"/>
        </w:rPr>
        <w:t xml:space="preserve">[KV.Số tiền vay]</w:t>
      </w:r>
      <w:r>
        <w:rPr>
          <w:rFonts w:ascii="Times New Roman" w:hAnsi="Times New Roman" w:eastAsia="Times New Roman" w:cs="Times New Roman"/>
          <w:color w:val="000000"/>
          <w:sz w:val="26"/>
        </w:rPr>
        <w:t xml:space="preserve"> đồng (bằng chữ: [KV.Số tiền vay bằng chữ]), bao gồm dư nợ tại HĐTD số [KV.HĐTD cũ] ngày [KV.Ngày HĐTD cũ] chuyển sang.</w:t>
      </w:r>
      <w:r/>
    </w:p>
    <w:p w14:paraId="7466488D">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Phương thức cho vay: Cho vay theo hạn mức.</w:t>
      </w:r>
      <w:r/>
    </w:p>
    <w:p w14:paraId="15BDA2A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Mục đích sử dụng vốn: </w:t>
      </w:r>
      <w:r>
        <w:rPr>
          <w:rFonts w:ascii="Times New Roman" w:hAnsi="Times New Roman" w:eastAsia="Times New Roman" w:cs="Times New Roman"/>
          <w:color w:val="000000"/>
          <w:sz w:val="26"/>
        </w:rPr>
        <w:t xml:space="preserve">[KV.Mục đích vay]</w:t>
      </w:r>
      <w:r>
        <w:rPr>
          <w:rFonts w:ascii="Times New Roman" w:hAnsi="Times New Roman" w:eastAsia="Times New Roman" w:cs="Times New Roman"/>
          <w:color w:val="000000"/>
          <w:sz w:val="26"/>
        </w:rPr>
        <w:t xml:space="preserve">.</w:t>
      </w:r>
      <w:r/>
    </w:p>
    <w:p w14:paraId="5BEC7974">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Thời gian duy trì hạn mức: tối đa </w:t>
      </w:r>
      <w:r>
        <w:rPr>
          <w:rFonts w:ascii="Times New Roman" w:hAnsi="Times New Roman" w:eastAsia="Times New Roman" w:cs="Times New Roman"/>
          <w:color w:val="000000"/>
          <w:sz w:val="26"/>
        </w:rPr>
        <w:t xml:space="preserve">[KV.Thời hạn duy trì hạn mức tối đa]</w:t>
      </w:r>
      <w:r>
        <w:rPr>
          <w:rFonts w:ascii="Times New Roman" w:hAnsi="Times New Roman" w:eastAsia="Times New Roman" w:cs="Times New Roman"/>
          <w:color w:val="000000"/>
          <w:sz w:val="26"/>
        </w:rPr>
        <w:t xml:space="preserve"> tháng.</w:t>
      </w:r>
      <w:r/>
    </w:p>
    <w:p w14:paraId="2388F0DB">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Kỳ hạn trả nợ gốc và lãi: Theo từng Báo cáo đề xuất giải ngân.</w:t>
      </w:r>
      <w:r/>
    </w:p>
    <w:p w14:paraId="53B06957">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cho vay trong hạn: Áp dụng theo từng lần nhận nợ với quy định cụ thể như sau:</w:t>
      </w:r>
      <w:r/>
    </w:p>
    <w:p w14:paraId="58CD1551">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851" w:left="0"/>
        <w:jc w:val="both"/>
        <w:rPr/>
      </w:pPr>
      <w:r>
        <w:rPr>
          <w:rFonts w:ascii="Times New Roman" w:hAnsi="Times New Roman" w:eastAsia="Times New Roman" w:cs="Times New Roman"/>
          <w:color w:val="000000"/>
          <w:sz w:val="26"/>
        </w:rPr>
        <w:t xml:space="preserve">+ Áp dụng lãi suất cho vay có điều chỉnh. Định kỳ 03 tháng/lần Ngân hàng sẽ xem xét điều chỉnh với công thức: Lãi suất cho vay = (bằng) Lãi suất niêm yết tối đa tiền gửi tiết kiệm bằng đồng Việt Nam kỳ hạn 12 tháng trả lãi cuối kỳ của Agribank tại thời điể</w:t>
      </w:r>
      <w:r>
        <w:rPr>
          <w:rFonts w:ascii="Times New Roman" w:hAnsi="Times New Roman" w:eastAsia="Times New Roman" w:cs="Times New Roman"/>
          <w:color w:val="000000"/>
          <w:sz w:val="26"/>
        </w:rPr>
        <w:t xml:space="preserve">m điều chỉnh cộng (+) biên độ [KV.Biên độ]%/năm, nhưng không thấp hơn sàn lãi suất cho vay theo quy định của Agribank tại thời điểm điều chỉnh.</w:t>
      </w:r>
      <w:r/>
    </w:p>
    <w:p w14:paraId="40D9436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851" w:left="0"/>
        <w:jc w:val="both"/>
        <w:rPr/>
      </w:pPr>
      <w:r>
        <w:rPr>
          <w:rFonts w:ascii="Times New Roman" w:hAnsi="Times New Roman" w:eastAsia="Times New Roman" w:cs="Times New Roman"/>
          <w:color w:val="000000"/>
          <w:sz w:val="26"/>
        </w:rPr>
        <w:t xml:space="preserve">+ Lãi suất cho vay được áp dụng theo từng lần nhận nợ. Mức lãi suất cho vay tại thời điểm thẩm định là: </w:t>
      </w:r>
      <w:r>
        <w:rPr>
          <w:rFonts w:ascii="Times New Roman" w:hAnsi="Times New Roman" w:eastAsia="Times New Roman" w:cs="Times New Roman"/>
          <w:color w:val="000000"/>
          <w:sz w:val="26"/>
        </w:rPr>
        <w:t xml:space="preserve">[KV.Lãi suất cho vay]</w:t>
      </w:r>
      <w:r>
        <w:rPr>
          <w:rFonts w:ascii="Times New Roman" w:hAnsi="Times New Roman" w:eastAsia="Times New Roman" w:cs="Times New Roman"/>
          <w:color w:val="000000"/>
          <w:sz w:val="26"/>
        </w:rPr>
        <w:t xml:space="preserve">%/năm.</w:t>
      </w:r>
      <w:r/>
    </w:p>
    <w:p w14:paraId="6FC531FC">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cho vay áp dụng với dư nợ gốc bị quá hạn: bằng 150% lãi suất cho vay trong hạn tại thời điểm chuyển nợ quá hạn.</w:t>
      </w:r>
      <w:r/>
    </w:p>
    <w:p w14:paraId="45B94BD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áp dụng đối với lãi chậm trả: 10%/năm tính trên số dư lãi chậm trả tương ứng với thời gian chậm trả.</w:t>
      </w:r>
      <w:r/>
    </w:p>
    <w:p w14:paraId="421213D0">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Cho vay có bảo đảm 100% bằng tài sản bảo đảm.</w:t>
      </w:r>
      <w:r/>
    </w:p>
    <w:tbl>
      <w:tblPr>
        <w:tblStyle w:val="1048"/>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gridSpan w:val="2"/>
            <w:tcBorders>
              <w:top w:val="none" w:color="000000" w:sz="4" w:space="0"/>
              <w:left w:val="none" w:color="000000" w:sz="4" w:space="0"/>
              <w:bottom w:val="none" w:color="000000" w:sz="4" w:space="0"/>
              <w:right w:val="none" w:color="000000" w:sz="4" w:space="0"/>
            </w:tcBorders>
            <w:tcMar>
              <w:left w:w="108" w:type="dxa"/>
              <w:top w:w="0" w:type="dxa"/>
              <w:right w:w="108" w:type="dxa"/>
              <w:bottom w:w="0" w:type="dxa"/>
            </w:tcMar>
            <w:tcW w:w="9854" w:type="dxa"/>
            <w:textDirection w:val="lrTb"/>
            <w:noWrap w:val="false"/>
          </w:tcPr>
          <w:p>
            <w:pPr>
              <w:pBdr/>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spacing/>
              <w:ind/>
              <w:jc w:val="center"/>
              <w:rPr>
                <w:b/>
                <w:szCs w:val="26"/>
              </w:rPr>
            </w:pPr>
            <w:r>
              <w:rPr>
                <w:rFonts w:ascii="Times New Roman" w:hAnsi="Times New Roman" w:cs="Times New Roman"/>
                <w:b/>
                <w:bCs/>
                <w:sz w:val="26"/>
                <w:szCs w:val="26"/>
              </w:rPr>
              <w:t xml:space="preserve">NGƯỜI QUAN HỆ KHÁCH HÀNG</w:t>
            </w:r>
            <w:r>
              <w:rPr>
                <w:b/>
                <w:szCs w:val="26"/>
              </w:rPr>
            </w:r>
            <w:r>
              <w:rPr>
                <w:b/>
                <w:szCs w:val="26"/>
              </w:rPr>
            </w:r>
          </w:p>
          <w:p>
            <w:pPr>
              <w:pBdr/>
              <w:spacing/>
              <w:ind/>
              <w:jc w:val="center"/>
              <w:rPr>
                <w:i/>
                <w:szCs w:val="26"/>
              </w:rPr>
            </w:pPr>
            <w:r>
              <w:rPr>
                <w:rFonts w:ascii="Times New Roman" w:hAnsi="Times New Roman" w:cs="Times New Roman"/>
                <w:i/>
                <w:iCs/>
                <w:sz w:val="24"/>
                <w:szCs w:val="24"/>
              </w:rPr>
              <w:t xml:space="preserve">(Ký, ghi rõ họ tên)</w:t>
            </w:r>
            <w:r>
              <w:rPr>
                <w:i/>
                <w:szCs w:val="26"/>
              </w:rPr>
            </w:r>
            <w:r>
              <w:rPr>
                <w:i/>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tc>
      </w:tr>
    </w:tbl>
    <w:p>
      <w:pPr>
        <w:pBdr/>
        <w:spacing w:before="120"/>
        <w:ind w:firstLine="567"/>
        <w:jc w:val="both"/>
        <w:rPr>
          <w:rFonts w:eastAsia="Calibri"/>
          <w:b/>
          <w:color w:val="000000"/>
          <w:sz w:val="26"/>
          <w:szCs w:val="26"/>
        </w:rPr>
      </w:pPr>
      <w:r>
        <w:rPr>
          <w:rFonts w:eastAsia="Calibri"/>
          <w:b/>
          <w:color w:val="000000"/>
          <w:sz w:val="26"/>
          <w:szCs w:val="26"/>
        </w:rPr>
      </w:r>
      <w:r>
        <w:rPr>
          <w:rFonts w:eastAsia="Calibri"/>
          <w:b/>
          <w:color w:val="000000"/>
          <w:sz w:val="26"/>
          <w:szCs w:val="26"/>
        </w:rPr>
      </w:r>
      <w:r>
        <w:rPr>
          <w:rFonts w:eastAsia="Calibri"/>
          <w:b/>
          <w:color w:val="000000"/>
          <w:sz w:val="26"/>
          <w:szCs w:val="26"/>
        </w:rPr>
      </w:r>
    </w:p>
    <w:p w14:paraId="59CB468E">
      <w:pPr>
        <w:pBdr/>
        <w:tabs>
          <w:tab w:val="center" w:leader="none" w:pos="7200"/>
        </w:tabs>
        <w:spacing w:line="288" w:lineRule="auto"/>
        <w:ind/>
        <w:jc w:val="both"/>
        <w:rPr>
          <w:sz w:val="28"/>
          <w:szCs w:val="28"/>
        </w:rPr>
      </w:pPr>
      <w:r>
        <w:rPr>
          <w:bCs/>
          <w:sz w:val="28"/>
          <w:szCs w:val="28"/>
        </w:rPr>
      </w:r>
      <w:r>
        <w:rPr>
          <w:bCs/>
          <w:sz w:val="28"/>
          <w:szCs w:val="28"/>
        </w:rPr>
      </w:r>
      <w:r>
        <w:rPr>
          <w:sz w:val="28"/>
          <w:szCs w:val="28"/>
        </w:rPr>
      </w:r>
    </w:p>
    <w:p w14:paraId="49341A0B">
      <w:pPr>
        <w:pBdr/>
        <w:tabs>
          <w:tab w:val="center" w:leader="none" w:pos="7200"/>
        </w:tabs>
        <w:spacing w:line="288" w:lineRule="auto"/>
        <w:ind/>
        <w:jc w:val="both"/>
        <w:rPr>
          <w:sz w:val="28"/>
          <w:szCs w:val="28"/>
        </w:rPr>
      </w:pPr>
      <w:r>
        <w:rPr>
          <w:sz w:val="28"/>
          <w:szCs w:val="28"/>
        </w:rPr>
      </w:r>
      <w:r>
        <w:rPr>
          <w:sz w:val="28"/>
          <w:szCs w:val="28"/>
        </w:rPr>
      </w:r>
      <w:r>
        <w:rPr>
          <w:sz w:val="28"/>
          <w:szCs w:val="28"/>
        </w:rPr>
      </w:r>
    </w:p>
    <w:p w14:paraId="330A9D64">
      <w:pPr>
        <w:pBdr/>
        <w:tabs>
          <w:tab w:val="center" w:leader="none" w:pos="7200"/>
        </w:tabs>
        <w:spacing w:line="288" w:lineRule="auto"/>
        <w:ind/>
        <w:jc w:val="both"/>
        <w:rPr>
          <w:sz w:val="28"/>
          <w:szCs w:val="28"/>
        </w:rPr>
      </w:pPr>
      <w:r>
        <w:rPr>
          <w:sz w:val="28"/>
          <w:szCs w:val="28"/>
        </w:rPr>
      </w:r>
      <w:r>
        <w:rPr>
          <w:sz w:val="28"/>
          <w:szCs w:val="28"/>
        </w:rPr>
      </w:r>
      <w:r>
        <w:rPr>
          <w:sz w:val="28"/>
          <w:szCs w:val="28"/>
        </w:rPr>
      </w:r>
    </w:p>
    <w:p>
      <w:pPr>
        <w:pBdr/>
        <w:tabs>
          <w:tab w:val="center" w:leader="none" w:pos="7200"/>
        </w:tabs>
        <w:spacing w:line="288" w:lineRule="auto"/>
        <w:ind/>
        <w:jc w:val="both"/>
        <w:rPr>
          <w:sz w:val="28"/>
          <w:szCs w:val="28"/>
        </w:rPr>
      </w:pPr>
      <w:r>
        <w:rPr>
          <w:bCs/>
          <w:sz w:val="28"/>
          <w:szCs w:val="28"/>
        </w:rPr>
      </w:r>
      <w:r>
        <w:rPr>
          <w:bCs/>
          <w:sz w:val="28"/>
          <w:szCs w:val="28"/>
        </w:rPr>
      </w:r>
      <w:r>
        <w:rPr>
          <w:sz w:val="28"/>
          <w:szCs w:val="28"/>
        </w:rPr>
      </w:r>
    </w:p>
    <w:p>
      <w:pPr>
        <w:pBdr/>
        <w:spacing/>
        <w:ind/>
        <w:rPr>
          <w:b/>
          <w:sz w:val="26"/>
          <w:szCs w:val="28"/>
        </w:rPr>
      </w:pPr>
      <w:r>
        <w:rPr>
          <w:b/>
          <w:sz w:val="26"/>
          <w:szCs w:val="28"/>
        </w:rPr>
      </w:r>
      <w:r>
        <w:rPr>
          <w:b/>
          <w:sz w:val="26"/>
          <w:szCs w:val="28"/>
        </w:rPr>
      </w:r>
      <w:r>
        <w:rPr>
          <w:b/>
          <w:sz w:val="26"/>
          <w:szCs w:val="28"/>
        </w:rPr>
      </w:r>
    </w:p>
    <w:p>
      <w:pPr>
        <w:pBdr/>
        <w:spacing/>
        <w:ind w:firstLine="567"/>
        <w:jc w:val="both"/>
        <w:rPr>
          <w:b/>
          <w:sz w:val="26"/>
          <w:szCs w:val="28"/>
        </w:rPr>
      </w:pPr>
      <w:r>
        <w:rPr>
          <w:rFonts w:ascii="Times New Roman" w:hAnsi="Times New Roman" w:cs="Times New Roman"/>
          <w:b/>
          <w:bCs/>
          <w:sz w:val="26"/>
          <w:szCs w:val="26"/>
        </w:rPr>
        <w:t xml:space="preserve">Phần B: THẨM ĐỊNH VÀ ĐỀ XUẤT CHO VAY CỦA NGƯỜI THẨM ĐỊNH/BỘ PHẬN THẨM ĐỊNH/PHÒNG THẨM ĐỊNH</w:t>
      </w:r>
      <w:r>
        <w:rPr>
          <w:b/>
          <w:sz w:val="26"/>
          <w:szCs w:val="28"/>
        </w:rPr>
      </w:r>
      <w:r>
        <w:rPr>
          <w:b/>
          <w:sz w:val="26"/>
          <w:szCs w:val="28"/>
        </w:rPr>
      </w:r>
    </w:p>
    <w:p>
      <w:pPr>
        <w:pBdr/>
        <w:spacing/>
        <w:ind w:firstLine="567"/>
        <w:jc w:val="both"/>
        <w:rPr>
          <w:sz w:val="26"/>
          <w:szCs w:val="28"/>
        </w:rPr>
      </w:pPr>
      <w:r>
        <w:rPr>
          <w:rFonts w:ascii="Times New Roman" w:hAnsi="Times New Roman" w:cs="Times New Roman"/>
          <w:sz w:val="26"/>
          <w:szCs w:val="26"/>
        </w:rPr>
        <w:t xml:space="preserve">Trên cơ sở thông tin, hồ sơ vay vốn và đề xuất của Người quan hệ khách hàng, Người thẩm định khoản vay thẩm định các điều kiện vay vốn, các quy định có liên quan và đề xuất cho vay với các nội dung như sau: </w:t>
      </w:r>
      <w:r>
        <w:rPr>
          <w:sz w:val="26"/>
          <w:szCs w:val="28"/>
        </w:rPr>
      </w:r>
      <w:r>
        <w:rPr>
          <w:sz w:val="26"/>
          <w:szCs w:val="28"/>
        </w:rPr>
      </w:r>
    </w:p>
    <w:p>
      <w:pPr>
        <w:pBdr/>
        <w:spacing/>
        <w:ind w:firstLine="567"/>
        <w:jc w:val="both"/>
        <w:rPr>
          <w:b/>
          <w:bCs/>
          <w:sz w:val="26"/>
          <w:szCs w:val="28"/>
        </w:rPr>
      </w:pPr>
      <w:r>
        <w:rPr>
          <w:rFonts w:ascii="Times New Roman" w:hAnsi="Times New Roman" w:cs="Times New Roman"/>
          <w:b/>
          <w:bCs/>
          <w:sz w:val="26"/>
          <w:szCs w:val="26"/>
        </w:rPr>
        <w:t xml:space="preserve">I. Thẩm định tình hình tài chính của khách hàng</w:t>
      </w:r>
      <w:r>
        <w:rPr>
          <w:b/>
          <w:bCs/>
          <w:sz w:val="26"/>
          <w:szCs w:val="28"/>
        </w:rPr>
      </w:r>
      <w:r>
        <w:rPr>
          <w:b/>
          <w:bCs/>
          <w:sz w:val="26"/>
          <w:szCs w:val="28"/>
        </w:rPr>
      </w:r>
    </w:p>
    <w:p>
      <w:pPr>
        <w:pBdr/>
        <w:spacing/>
        <w:ind w:firstLine="567"/>
        <w:jc w:val="both"/>
        <w:rPr>
          <w:rFonts w:eastAsia="Arial"/>
          <w:b/>
          <w:bCs/>
          <w:sz w:val="26"/>
          <w:szCs w:val="26"/>
        </w:rPr>
      </w:pPr>
      <w:r>
        <w:rPr>
          <w:b/>
          <w:bCs/>
          <w:sz w:val="26"/>
          <w:szCs w:val="26"/>
        </w:rPr>
        <w:t xml:space="preserve">1. Căn cứ đánh giá, phân tích</w:t>
      </w:r>
      <w:r>
        <w:rPr>
          <w:rFonts w:eastAsia="Arial"/>
          <w:b/>
          <w:bCs/>
          <w:sz w:val="26"/>
          <w:szCs w:val="26"/>
        </w:rPr>
      </w:r>
      <w:r>
        <w:rPr>
          <w:rFonts w:eastAsia="Arial"/>
          <w:b/>
          <w:bCs/>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năm [Năm liền kề -1], [Năm liền kề].</w:t>
      </w:r>
      <w:r>
        <w:rPr>
          <w:sz w:val="26"/>
          <w:szCs w:val="26"/>
        </w:rPr>
      </w:r>
      <w:r>
        <w:rPr>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(Báo cáo tài chính 2 năm liền kề trừ doanh nghiệp mới được thành lập).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Báo cáo tài chính phải được kiểm toán và/ báo cáo tài ch</w:t>
      </w:r>
      <w:r>
        <w:rPr>
          <w:rFonts w:ascii="Times New Roman" w:hAnsi="Times New Roman" w:cs="Times New Roman"/>
          <w:sz w:val="26"/>
          <w:szCs w:val="26"/>
          <w:highlight w:val="yellow"/>
        </w:rPr>
        <w:t xml:space="preserve">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rPr>
        <w:t xml:space="preserve">- Báo cáo một số tình hình tài chính quý gần nhất (đến [Ngày báo cáo])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quý gần nhất </w:t>
      </w:r>
      <w:r>
        <w:rPr>
          <w:sz w:val="26"/>
          <w:szCs w:val="26"/>
        </w:rPr>
      </w:r>
      <w:r>
        <w:rPr>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(Trường hợp DN không lập báo cáo tài chính quý thì lập báo cáo một số tình hình tài chính quý gần nhất);  </w:t>
      </w:r>
      <w:r>
        <w:rPr>
          <w:sz w:val="26"/>
          <w:szCs w:val="26"/>
          <w:highlight w:val="yellow"/>
        </w:rPr>
      </w:r>
      <w:r>
        <w:rPr>
          <w:sz w:val="26"/>
          <w:szCs w:val="26"/>
          <w:highlight w:val="yellow"/>
        </w:rPr>
      </w:r>
    </w:p>
    <w:p>
      <w:pPr>
        <w:pBdr/>
        <w:spacing/>
        <w:ind w:firstLine="567"/>
        <w:jc w:val="both"/>
        <w:rPr>
          <w:bCs/>
          <w:sz w:val="26"/>
          <w:szCs w:val="28"/>
        </w:rPr>
      </w:pPr>
      <w:r>
        <w:rPr>
          <w:rFonts w:ascii="Times New Roman" w:hAnsi="Times New Roman" w:cs="Times New Roman"/>
          <w:sz w:val="26"/>
          <w:szCs w:val="26"/>
        </w:rPr>
        <w:t xml:space="preserve">- Sổ phụ chi tiết các khoản nợ phải thu, phải trả;</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chi tiết hàng tồn kho;</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chi tiết các khoản đầu tư tài chính dài hạn, ngắn hạn.</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Bảng kê nợ vay tại các TCTD;</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tài khoản tiền gửi các ngân hàng; </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Chi tiết doanh thu theo từng mặt hàng, lĩnh vực kinh doanh, từng công trình thi công. Doanh số (lượng, giá trị) xuất khẩu theo từng nước, khu vực (nếu có)...</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Các tài liệu khác (nếu có). </w:t>
      </w:r>
      <w:r>
        <w:rPr>
          <w:bCs/>
          <w:sz w:val="26"/>
          <w:szCs w:val="28"/>
        </w:rPr>
      </w:r>
      <w:r>
        <w:rPr>
          <w:bCs/>
          <w:sz w:val="26"/>
          <w:szCs w:val="28"/>
        </w:rPr>
      </w:r>
    </w:p>
    <w:p>
      <w:pPr>
        <w:pBdr/>
        <w:spacing/>
        <w:ind w:firstLine="567"/>
        <w:jc w:val="both"/>
        <w:rPr>
          <w:rFonts w:eastAsia="Calibri"/>
          <w:b/>
          <w:sz w:val="26"/>
          <w:szCs w:val="26"/>
        </w:rPr>
      </w:pPr>
      <w:r>
        <w:rPr>
          <w:b/>
          <w:bCs/>
          <w:sz w:val="26"/>
          <w:szCs w:val="26"/>
        </w:rPr>
        <w:t xml:space="preserve">2. Tình hình tài chính của khách hàng</w:t>
      </w:r>
      <w:r>
        <w:rPr>
          <w:rFonts w:eastAsia="Calibri"/>
          <w:b/>
          <w:sz w:val="26"/>
          <w:szCs w:val="26"/>
        </w:rPr>
      </w:r>
      <w:r>
        <w:rPr>
          <w:rFonts w:eastAsia="Calibri"/>
          <w:b/>
          <w:sz w:val="26"/>
          <w:szCs w:val="26"/>
        </w:rPr>
      </w:r>
    </w:p>
    <w:p>
      <w:pPr>
        <w:pBdr/>
        <w:spacing/>
        <w:ind w:firstLine="567"/>
        <w:jc w:val="both"/>
        <w:rPr>
          <w:rFonts w:eastAsia="Calibri"/>
          <w:sz w:val="26"/>
          <w:szCs w:val="26"/>
        </w:rPr>
      </w:pPr>
      <w:r>
        <w:rPr>
          <w:sz w:val="26"/>
          <w:szCs w:val="26"/>
          <w:highlight w:val="yellow"/>
        </w:rPr>
        <w:t xml:space="preserve">- Những điểm cần lưu ý khi đánh giá: Tùy đặc điểm cụ thể</w:t>
      </w:r>
      <w:r>
        <w:rPr>
          <w:sz w:val="26"/>
          <w:szCs w:val="26"/>
          <w:highlight w:val="yellow"/>
        </w:rPr>
        <w:t xml:space="preserve"> tình hình hoạt động của DN, tính chất bất thường của từng khoản mục trên Báo cáo tài chính của DN, lựa chọn các khoản mục, chỉ tiêu cụ thể trên Báo cáo tài chính để đánh giá làm rõ sự bất hợp lý, tìm ra nguyên nhân và đánh giá, nhận xét về các khoản mục l</w:t>
      </w:r>
      <w:r>
        <w:rPr>
          <w:sz w:val="26"/>
          <w:szCs w:val="26"/>
          <w:highlight w:val="yellow"/>
        </w:rPr>
        <w:t xml:space="preserve">ựa chọn phân tích và tình hình chung của DN. Trường hợp BCTC được kiểm toán nhưng loại trừ nhiều yếu tố trọng yếu: Cần phải thu thập thêm thông tin để có cơ sở đánh giá khả năng tài chính của DN, đồng thời cũng là cơ sở để đánh giá rủi ro khi cấp tín dụng.</w:t>
      </w:r>
      <w:r>
        <w:rPr>
          <w:sz w:val="26"/>
          <w:szCs w:val="26"/>
        </w:rPr>
        <w:t xml:space="preserve">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Tùy thuộc vào mô hình hoạt động và việc áp dụng chế độ kế toán của từng pháp nhân, tập trung phân tích những thay đổi lớn, những chỉ tiêu cơ bản có tính chất trọ</w:t>
      </w:r>
      <w:r>
        <w:rPr>
          <w:sz w:val="26"/>
          <w:szCs w:val="26"/>
          <w:highlight w:val="yellow"/>
        </w:rPr>
        <w:t xml:space="preserve">ng yếu trong báo cáo tài chính như: Các khoản phải thu; Hàng tồn kho; Các khoản đầu tư tài chính; Tài sản dài hạn; Trích lập dự phòng rủi ro; Các khoản phải trả người bán; Vay tại các tổ chức tín dụng; Nguồn vốn chủ sở hữu…</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Một số mục đã có sẵn phân tích dưới đây là để tham khảo từ một vài khoản vay có thực trước đây, tùy tình hình thực tế để thêm, bớt cho phù hợp</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Bảng cân đối tài khoản rút gọn:</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bCs/>
              </w:rPr>
            </w:pPr>
            <w:r>
              <w:rPr>
                <w:rFonts w:ascii="Times New Roman" w:hAnsi="Times New Roman" w:cs="Times New Roman"/>
                <w:b/>
                <w:bCs/>
                <w:sz w:val="24"/>
                <w:szCs w:val="24"/>
              </w:rPr>
              <w:t xml:space="preserve">[Ngày báo cáo]</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bCs/>
              </w:rPr>
            </w:pPr>
            <w:r>
              <w:rPr>
                <w:rFonts w:ascii="Times New Roman" w:hAnsi="Times New Roman" w:cs="Times New Roman"/>
                <w:b/>
                <w:bCs/>
                <w:sz w:val="24"/>
                <w:szCs w:val="24"/>
              </w:rPr>
              <w:t xml:space="preserve">So sánh</w:t>
            </w:r>
            <w:r>
              <w:rPr>
                <w:b/>
                <w:bCs/>
              </w:rPr>
            </w:r>
            <w:r>
              <w:rPr>
                <w:b/>
                <w:bCs/>
              </w:rPr>
            </w:r>
          </w:p>
          <w:p>
            <w:pPr>
              <w:pBdr/>
              <w:spacing/>
              <w:ind/>
              <w:jc w:val="center"/>
              <w:rPr>
                <w:b/>
                <w:bCs/>
              </w:rPr>
            </w:pPr>
            <w:r>
              <w:rPr>
                <w:rFonts w:ascii="Times New Roman" w:hAnsi="Times New Roman" w:cs="Times New Roman"/>
                <w:b/>
                <w:bCs/>
                <w:sz w:val="24"/>
                <w:szCs w:val="24"/>
              </w:rPr>
              <w:t xml:space="preserve">[Năm liền kề] - [Năm liền kề -1]</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A. 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[CL Tài sản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Tiền và các khoản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[CS.Tiền và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[CS.Tiền và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Tiền và tương đương tiền]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Đầu tư tài chính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III. 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Các khoản phải thu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thu khách hàng</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[CS.Phải thu ngắn hạn của KH:]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thu ngắn hạn của KH]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Phải thu ngắn hạn của KH]</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Trả trước cho người bán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[CS.Trả trước cho ng bán ngắn hạn:]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[Trả trước cho ng bán ngắn hạn]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Trả trước cho ng bán ngắn hạn]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thu ngắn hạn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[CS.Phải thu ngắn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[Phải thu ngắn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Phải thu ngắn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IV. Hàng tồn kho</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Hàng tồn kho]</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 Tài sản ngắn hạn khác</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[CS.Tài sản ngắn hạn khác:]</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[Tài sản ngắn hạn khác]</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ngắn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B. 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Tài sản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Các khoản 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Phải thu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Tài sản cố định</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Tài sản cố định hữu hình</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cố định hữu hình]</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III. Bất động sản đầu tư</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IV. Tài sản dở dang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 Đầu tư tài chính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[CS.Đầu tư tài chính dài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[Đầu tư tài chính dài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Đầu tư tài chính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vào công ty con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vào công ty liên kết, liên doanh</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dài hạn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VI. Tài sản dài hạn khác</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dài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
                <w:bCs/>
              </w:rPr>
            </w:pPr>
            <w:r>
              <w:rPr>
                <w:rFonts w:ascii="Times New Roman" w:hAnsi="Times New Roman" w:cs="Times New Roman"/>
                <w:b/>
                <w:bCs/>
                <w:sz w:val="24"/>
                <w:szCs w:val="24"/>
              </w:rPr>
              <w:t xml:space="preserve">TỔNG CỘNG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
                <w:bCs/>
              </w:rPr>
            </w:pPr>
            <w:r>
              <w:rPr>
                <w:rFonts w:ascii="Times New Roman" w:hAnsi="Times New Roman" w:cs="Times New Roman"/>
                <w:b/>
                <w:bCs/>
                <w:sz w:val="24"/>
                <w:szCs w:val="24"/>
              </w:rPr>
              <w:t xml:space="preserve">[CS.Tổng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b/>
                <w:bCs/>
              </w:rPr>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[CS.CL Tổng tài sản]</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C. Nợ phải trả</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Nợ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Nợ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[CL Phải trả người bán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Người mua trả tiền trước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Người mua trả tiền trước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trả người lao động</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Vay và nợ thuê tài chính ngắn hạn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[CS.Vay và nợ thuê tài chính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[Vay và nợ thuê tài chính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Vay và nợ thuê tài chính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Nợ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Nợ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D. Vốn chủ sở hữu </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Vốn chủ sở hữu]</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Vốn đầu tư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[CS.Vốn góp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[Vốn góp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Vốn góp của chủ sở hữu]</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 Lợi nhuận sau thuế chưa phân phối</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Lợi nhuận sau thuế chưa phân phối]</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II. Nguồn kinh phí và quỹ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TỔNG CỘNG NGUỒN VỐN</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
                <w:bCs/>
              </w:rPr>
            </w:pPr>
            <w:r>
              <w:rPr>
                <w:rFonts w:ascii="Times New Roman" w:hAnsi="Times New Roman" w:cs="Times New Roman"/>
                <w:b/>
                <w:bCs/>
                <w:sz w:val="24"/>
                <w:szCs w:val="24"/>
              </w:rPr>
              <w:t xml:space="preserve">[CS.Tổng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b/>
                <w:bCs/>
              </w:rPr>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[CS.CL Tổng tài sản]</w:t>
            </w:r>
            <w:r>
              <w:rPr>
                <w:b/>
                <w:bCs/>
              </w:rPr>
            </w:r>
            <w:r>
              <w:rPr>
                <w:b/>
                <w:bCs/>
              </w:rPr>
            </w:r>
          </w:p>
        </w:tc>
      </w:tr>
    </w:tbl>
    <w:p>
      <w:pPr>
        <w:pBdr/>
        <w:spacing w:before="120"/>
        <w:ind w:firstLine="567"/>
        <w:jc w:val="both"/>
        <w:rPr>
          <w:b/>
          <w:color w:val="1f497d"/>
          <w:sz w:val="26"/>
          <w:szCs w:val="26"/>
        </w:rPr>
      </w:pPr>
      <w:r>
        <w:rPr>
          <w:rFonts w:ascii="Times New Roman" w:hAnsi="Times New Roman" w:cs="Times New Roman"/>
          <w:b/>
          <w:bCs/>
          <w:color w:val="000000"/>
          <w:sz w:val="26"/>
          <w:szCs w:val="26"/>
        </w:rPr>
        <w:t xml:space="preserve">2.1. Về tài sản</w:t>
      </w:r>
      <w:r>
        <w:rPr>
          <w:rFonts w:ascii="Times New Roman" w:hAnsi="Times New Roman" w:cs="Times New Roman"/>
          <w:b/>
          <w:bCs/>
          <w:color w:val="1f497d"/>
          <w:sz w:val="26"/>
          <w:szCs w:val="26"/>
        </w:rPr>
        <w:t xml:space="preserve"> </w:t>
      </w:r>
      <w:r>
        <w:rPr>
          <w:b/>
          <w:color w:val="1f497d"/>
          <w:sz w:val="26"/>
          <w:szCs w:val="26"/>
        </w:rPr>
      </w:r>
      <w:r>
        <w:rPr>
          <w:b/>
          <w:color w:val="1f497d"/>
          <w:sz w:val="26"/>
          <w:szCs w:val="26"/>
        </w:rPr>
      </w:r>
    </w:p>
    <w:p>
      <w:pPr>
        <w:pBdr/>
        <w:spacing/>
        <w:ind w:firstLine="567"/>
        <w:jc w:val="both"/>
        <w:rPr>
          <w:b/>
          <w:sz w:val="26"/>
          <w:szCs w:val="26"/>
        </w:rPr>
      </w:pPr>
      <w:r>
        <w:rPr>
          <w:rFonts w:ascii="Times New Roman" w:hAnsi="Times New Roman" w:cs="Times New Roman"/>
          <w:b/>
          <w:bCs/>
          <w:sz w:val="26"/>
          <w:szCs w:val="26"/>
        </w:rPr>
        <w:t xml:space="preserve">- Về cơ cấu tài sản của công ty</w:t>
      </w:r>
      <w:r>
        <w:rPr>
          <w:b/>
          <w:sz w:val="26"/>
          <w:szCs w:val="26"/>
        </w:rPr>
      </w:r>
      <w:r>
        <w:rPr>
          <w:b/>
          <w:sz w:val="26"/>
          <w:szCs w:val="26"/>
        </w:rPr>
      </w:r>
    </w:p>
    <w:tbl>
      <w:tblPr>
        <w:tblW w:w="5000" w:type="pct"/>
        <w:tblBorders>
          <w:top w:val="single" w:color="auto" w:sz="4" w:space="0"/>
          <w:left w:val="single" w:color="auto" w:sz="4" w:space="0"/>
          <w:bottom w:val="single" w:color="000000" w:sz="4" w:space="0"/>
          <w:right w:val="single" w:color="auto" w:sz="4" w:space="0"/>
          <w:insideH w:val="single" w:color="000000"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000000" w:sz="4" w:space="0"/>
              <w:right w:val="single" w:color="auto" w:sz="4" w:space="0"/>
            </w:tcBorders>
            <w:tcW w:w="344" w:type="pct"/>
            <w:vAlign w:val="center"/>
            <w:textDirection w:val="lrTb"/>
            <w:noWrap w:val="false"/>
          </w:tcPr>
          <w:p>
            <w:pPr>
              <w:pBdr/>
              <w:spacing/>
              <w:ind/>
              <w:jc w:val="center"/>
              <w:rPr>
                <w:b/>
                <w:bCs/>
              </w:rPr>
            </w:pPr>
            <w:r>
              <w:rPr>
                <w:rFonts w:ascii="Times New Roman" w:hAnsi="Times New Roman" w:cs="Times New Roman"/>
                <w:b/>
                <w:bCs/>
                <w:sz w:val="24"/>
                <w:szCs w:val="24"/>
              </w:rPr>
              <w:t xml:space="preserve">TT</w:t>
            </w:r>
            <w:r>
              <w:rPr>
                <w:b/>
                <w:bCs/>
              </w:rPr>
            </w:r>
            <w:r>
              <w:rPr>
                <w:b/>
                <w:bCs/>
              </w:rPr>
            </w:r>
          </w:p>
        </w:tc>
        <w:tc>
          <w:tcPr>
            <w:tcBorders>
              <w:top w:val="single" w:color="auto" w:sz="4" w:space="0"/>
              <w:left w:val="single" w:color="auto" w:sz="4" w:space="0"/>
              <w:bottom w:val="single" w:color="000000" w:sz="4" w:space="0"/>
              <w:right w:val="single" w:color="auto" w:sz="4" w:space="0"/>
            </w:tcBorders>
            <w:tcW w:w="2088" w:type="pct"/>
            <w:vAlign w:val="center"/>
            <w:textDirection w:val="lrTb"/>
            <w:noWrap w:val="false"/>
          </w:tcPr>
          <w:p>
            <w:pPr>
              <w:pBdr/>
              <w:spacing/>
              <w:ind/>
              <w:jc w:val="center"/>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Cs/>
              </w:rPr>
            </w:pPr>
            <w:r>
              <w:rPr>
                <w:rFonts w:ascii="Times New Roman" w:hAnsi="Times New Roman" w:cs="Times New Roman"/>
                <w:b/>
                <w:bCs/>
                <w:sz w:val="22"/>
                <w:szCs w:val="22"/>
              </w:rPr>
              <w:t xml:space="preserve">[Ngày báo cáo]</w:t>
            </w:r>
            <w:r>
              <w:rPr>
                <w:bCs/>
              </w:rPr>
            </w:r>
            <w:r>
              <w:rPr>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b/>
                <w:bCs/>
              </w:rPr>
            </w:pPr>
            <w:r>
              <w:rPr>
                <w:rFonts w:ascii="Times New Roman" w:hAnsi="Times New Roman" w:cs="Times New Roman"/>
                <w:b/>
                <w:bCs/>
                <w:sz w:val="24"/>
                <w:szCs w:val="24"/>
              </w:rPr>
              <w:t xml:space="preserve">A</w:t>
            </w:r>
            <w:r>
              <w:rPr>
                <w:b/>
                <w:bCs/>
              </w:rPr>
            </w:r>
            <w:r>
              <w:rPr>
                <w:b/>
                <w:bCs/>
              </w:rP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1</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Tiền và các khoản tương đương tiền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[Tiền và tương đương tiền:]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[Tiền và tương đương tiền]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2</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Đầu tư tài chính ngắn hạn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3</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Các khoản phải thu</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4</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Hàng tồn kho</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5</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Tài sản lưu động khác</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b/>
              </w:rPr>
            </w:pPr>
            <w:r>
              <w:rPr>
                <w:rFonts w:ascii="Times New Roman" w:hAnsi="Times New Roman" w:cs="Times New Roman"/>
                <w:b/>
                <w:bCs/>
                <w:sz w:val="24"/>
                <w:szCs w:val="24"/>
              </w:rPr>
              <w:t xml:space="preserve">B</w:t>
            </w:r>
            <w:r>
              <w:rPr>
                <w:b/>
              </w:rPr>
            </w:r>
            <w:r>
              <w:rPr>
                <w:b/>
              </w:rP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1</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Tài sản cố định hữu hình</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2</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Đầu tư tài chính dài hạn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dài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dài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3</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Xây dựng cơ bản dở dang</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8" w:space="0"/>
              <w:bottom w:val="single" w:color="auto" w:sz="8" w:space="0"/>
              <w:right w:val="single" w:color="000000" w:sz="8" w:space="0"/>
            </w:tcBorders>
            <w:tcW w:w="344" w:type="pct"/>
            <w:vAlign w:val="center"/>
            <w:textDirection w:val="lrTb"/>
            <w:noWrap w:val="false"/>
          </w:tcPr>
          <w:p>
            <w:pPr>
              <w:pBdr/>
              <w:spacing/>
              <w:ind/>
              <w:jc w:val="center"/>
              <w:rPr>
                <w:b/>
                <w:bCs/>
              </w:rPr>
            </w:pPr>
            <w:r>
              <w:rPr>
                <w:b/>
                <w:bCs/>
              </w:rPr>
            </w:r>
            <w:r>
              <w:rPr>
                <w:b/>
                <w:bCs/>
              </w:rPr>
            </w:r>
            <w:r>
              <w:rPr>
                <w:b/>
                <w:bCs/>
              </w:rPr>
            </w:r>
          </w:p>
        </w:tc>
        <w:tc>
          <w:tcPr>
            <w:tcBorders>
              <w:top w:val="single" w:color="000000" w:sz="4" w:space="0"/>
              <w:left w:val="single" w:color="auto" w:sz="8" w:space="0"/>
              <w:bottom w:val="single" w:color="auto" w:sz="8" w:space="0"/>
              <w:right w:val="single" w:color="000000" w:sz="8"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Tổng cộng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b/>
                <w:bCs/>
              </w:rPr>
            </w:r>
            <w:r>
              <w:rPr>
                <w:b/>
                <w:bCs/>
              </w:rPr>
            </w:r>
            <w:r>
              <w:rPr>
                <w:b/>
                <w:bCs/>
              </w:rPr>
            </w:r>
          </w:p>
        </w:tc>
      </w:tr>
    </w:tbl>
    <w:p>
      <w:pPr>
        <w:pStyle w:val="996"/>
        <w:pBdr/>
        <w:spacing w:after="0"/>
        <w:ind w:firstLine="567" w:left="0"/>
        <w:jc w:val="both"/>
        <w:rPr>
          <w:b/>
          <w:sz w:val="26"/>
          <w:szCs w:val="26"/>
        </w:rPr>
      </w:pPr>
      <w:r>
        <w:rPr>
          <w:rFonts w:ascii="Times New Roman" w:hAnsi="Times New Roman" w:cs="Times New Roman"/>
          <w:b/>
          <w:bCs/>
          <w:sz w:val="26"/>
          <w:szCs w:val="26"/>
        </w:rPr>
        <w:t xml:space="preserve">a. Đánh giá tài sản ngắn hạn:</w:t>
      </w:r>
      <w:r>
        <w:rPr>
          <w:b/>
          <w:sz w:val="26"/>
          <w:szCs w:val="26"/>
        </w:rPr>
      </w:r>
      <w:r>
        <w:rPr>
          <w:b/>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Tài sản ngắn hạn của Công ty năm [Năm liền kề -1] là [Tài sản ngắn hạn:] đồng, đến 31/12/[Năm liền kề] là [Tài sản ngắn hạn] đồng, chênh lệch [CL Tài sản ngắn hạn] đồng so với năm trước, cụ thể:</w:t>
      </w:r>
      <w:r>
        <w:rPr>
          <w:sz w:val="26"/>
          <w:szCs w:val="26"/>
        </w:rPr>
      </w:r>
      <w:r>
        <w:rPr>
          <w:sz w:val="26"/>
          <w:szCs w:val="26"/>
        </w:rPr>
      </w:r>
    </w:p>
    <w:p>
      <w:pPr>
        <w:pStyle w:val="996"/>
        <w:pBdr/>
        <w:spacing w:after="0"/>
        <w:ind w:firstLine="567" w:left="0"/>
        <w:jc w:val="both"/>
        <w:rPr>
          <w:b/>
          <w:sz w:val="26"/>
          <w:szCs w:val="26"/>
        </w:rPr>
      </w:pPr>
      <w:r>
        <w:rPr>
          <w:rFonts w:ascii="Times New Roman" w:hAnsi="Times New Roman" w:cs="Times New Roman"/>
          <w:b/>
          <w:bCs/>
          <w:sz w:val="26"/>
          <w:szCs w:val="26"/>
        </w:rPr>
        <w:t xml:space="preserve">- Tiền và các khoản tương đương tiền:</w:t>
      </w:r>
      <w:r>
        <w:rPr>
          <w:b/>
          <w:sz w:val="26"/>
          <w:szCs w:val="26"/>
        </w:rPr>
      </w:r>
      <w:r>
        <w:rPr>
          <w:b/>
          <w:sz w:val="26"/>
          <w:szCs w:val="26"/>
        </w:rPr>
      </w:r>
    </w:p>
    <w:p>
      <w:pPr>
        <w:pStyle w:val="996"/>
        <w:pBdr/>
        <w:spacing w:after="0"/>
        <w:ind w:firstLine="567" w:left="0"/>
        <w:jc w:val="both"/>
        <w:rPr>
          <w:sz w:val="26"/>
          <w:szCs w:val="26"/>
        </w:rPr>
      </w:pPr>
      <w:r>
        <w:rPr>
          <w:rFonts w:ascii="Times New Roman" w:hAnsi="Times New Roman" w:cs="Times New Roman"/>
          <w:sz w:val="26"/>
          <w:szCs w:val="26"/>
          <w:highlight w:val="yellow"/>
        </w:rPr>
        <w:t xml:space="preserve">Có thể yêu cầu cung cấp Sổ quỹ </w:t>
      </w:r>
      <w:r>
        <w:rPr>
          <w:rFonts w:ascii="Times New Roman" w:hAnsi="Times New Roman" w:cs="Times New Roman"/>
          <w:sz w:val="26"/>
          <w:szCs w:val="26"/>
          <w:highlight w:val="yellow"/>
        </w:rPr>
        <w:t xml:space="preserve">tiền mặt, sao kê chi tiết tài khoản tại các ngân hàng (để xem xét sự biến động của dòng tiền vào – ra) trong trường hợp doanh thu chuyển tiền về NH không tương xứng (nhỏ hơn) so với doanh số cho vay hoặc doanh thu không tương xứng với tỷ trọng cấp tín dụng</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Tiền và các khoản tương đương tiền của Công ty năm [Năm liền kề -1] là [Tiền và tương đương tiền:] đồng</w:t>
      </w:r>
      <w:r>
        <w:rPr>
          <w:rFonts w:ascii="Times New Roman" w:hAnsi="Times New Roman" w:cs="Times New Roman"/>
          <w:sz w:val="26"/>
          <w:szCs w:val="26"/>
        </w:rPr>
        <w:t xml:space="preserve">, đến 31/12/[Năm liền kề] là [Tiền và tương đương tiền] đồng, chênh lệch [CL Tiền và tương đương tiền] đồng so với năm trước. Tiền và các khoản tương đương tiền của công ty chiếm tỷ trọng ...... trong tổng tài sản ngắn hạn là do ....... </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Số dư tiền gửi của Công ty tại Agribank [Tên chi nhánh/PGD] tại thời điểm 31/12/[Năm liền kề -1] là ......... triệu đồng, thời điểm 31/12/[Năm liền kề] là ......... triệu đồng,.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Đầu tư tài chính ngắn hạn:</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Khi xem xét khoản đầu tư này, cần liên hệ với chính sách đầu tư của doanh nghiệp cũng như môi trường đầu tư trong từng thời kỳ. Đầu tư TCNH của DN chủ yếu là: tiền gửi có kỳ hạn &lt;12 tháng, đầu tư chứng khoán ngắn hạn, góp vốn, cho vay ngắn hạn. </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Khi phân tích, ngoài việc đánh giá sự biến động tăng, giảm của khoản mục này cần phải phân tích, đánh giá nguyên nhân từ đâu phát sinh khoản mục</w:t>
      </w:r>
      <w:r>
        <w:rPr>
          <w:rFonts w:ascii="Times New Roman" w:hAnsi="Times New Roman" w:cs="Times New Roman"/>
          <w:sz w:val="26"/>
          <w:szCs w:val="26"/>
          <w:highlight w:val="yellow"/>
        </w:rPr>
        <w:t xml:space="preserve"> này trong điều kiện DN đang có nhu cầu vay vốn để thực hiện phương án hoạt động sản xuất kinh doanh từ các TCTD? Phân tích dòng vốn của từng loại đầu tư; xác định doanh lợi thu được tư việc đầu tư; Trường hợp có rủi ro thì phương án trích lập như thế nào?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Đầu tư tài chính ngắn hạn của</w:t>
      </w:r>
      <w:r>
        <w:rPr>
          <w:rFonts w:ascii="Times New Roman" w:hAnsi="Times New Roman" w:cs="Times New Roman"/>
          <w:sz w:val="26"/>
          <w:szCs w:val="26"/>
        </w:rPr>
        <w:t xml:space="preserve"> Công ty năm [Năm liền kề -1] là [Đầu tư tài chính ngắn hạn:] đồng, đến 31/12/[Năm liền kề] là [Đầu tư tài chính ngắn hạn] đồng, chênh lệch [CL Đầu tư tài chính ngắn hạn] đồng so với năm trước. Chiếm tỷ trọng ... trong tổng tài sản ngắn hạn.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Các khoản phải thu ngắn hạn:</w:t>
      </w:r>
      <w:r>
        <w:rPr>
          <w:b/>
          <w:sz w:val="26"/>
          <w:szCs w:val="26"/>
        </w:rPr>
      </w:r>
      <w:r>
        <w:rPr>
          <w:b/>
          <w:sz w:val="26"/>
          <w:szCs w:val="26"/>
        </w:rPr>
      </w:r>
    </w:p>
    <w:p>
      <w:pPr>
        <w:pBdr/>
        <w:tabs>
          <w:tab w:val="left" w:leader="none" w:pos="8640"/>
        </w:tabs>
        <w:spacing/>
        <w:ind w:firstLine="567"/>
        <w:jc w:val="both"/>
        <w:rPr>
          <w:sz w:val="26"/>
          <w:szCs w:val="28"/>
          <w:highlight w:val="yellow"/>
        </w:rPr>
      </w:pPr>
      <w:r>
        <w:rPr>
          <w:rFonts w:ascii="Times New Roman" w:hAnsi="Times New Roman" w:cs="Times New Roman"/>
          <w:b/>
          <w:bCs/>
          <w:sz w:val="26"/>
          <w:szCs w:val="26"/>
          <w:highlight w:val="yellow"/>
        </w:rPr>
        <w:t xml:space="preserve">Lưu ý:</w:t>
      </w:r>
      <w:r>
        <w:rPr>
          <w:rFonts w:ascii="Times New Roman" w:hAnsi="Times New Roman" w:cs="Times New Roman"/>
          <w:sz w:val="26"/>
          <w:szCs w:val="26"/>
          <w:highlight w:val="yellow"/>
        </w:rPr>
        <w:t xml:space="preserve"> Khi phân tích</w:t>
      </w:r>
      <w:r>
        <w:rPr>
          <w:rFonts w:ascii="Times New Roman" w:hAnsi="Times New Roman" w:cs="Times New Roman"/>
          <w:sz w:val="26"/>
          <w:szCs w:val="26"/>
          <w:highlight w:val="yellow"/>
        </w:rPr>
        <w:t xml:space="preserve"> sự biến động của các khoản phải thu cần căn cứ vào tính chất, đặc điểm kinh doanh của DN, đặc tính, chu kỳ sản phẩm, khả năng tổ chức quản lý bán hàng (kênh phân phối, quảng bá, tiếp thị, chất lượng, uy tín...) để đánh giá tính phù hợp của khoản mục này. </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Với DN đã hoạt động KD trong nhiều năm, đã thiết lập được kênh phân phối (khách hàng truyền thống) thì các khoản công nợ không mang</w:t>
      </w:r>
      <w:r>
        <w:rPr>
          <w:rFonts w:ascii="Times New Roman" w:hAnsi="Times New Roman" w:cs="Times New Roman"/>
          <w:sz w:val="26"/>
          <w:szCs w:val="26"/>
          <w:highlight w:val="yellow"/>
        </w:rPr>
        <w:t xml:space="preserve"> tính đột biến. DN kinh doanh các sản phẩm có tính độc quyền, có uy tín, thương hiệu... SP, hàng hóa thường được tiêu thụ nhanh, thu tiền nhanh. Riêng, đối với các SP, hàng hóa mới, sản phẩm lỗi mốt, giá thị trường đang down ... buộc DN phải áp dụng chính </w:t>
      </w:r>
      <w:r>
        <w:rPr>
          <w:rFonts w:ascii="Times New Roman" w:hAnsi="Times New Roman" w:cs="Times New Roman"/>
          <w:sz w:val="26"/>
          <w:szCs w:val="26"/>
          <w:highlight w:val="yellow"/>
        </w:rPr>
        <w:t xml:space="preserve">sách bán hàng trả chậm, bán chịu... để tiêu thụ hàng hóa. Ngược lại trong điều kiện kinh doanh bình thường nhưng nợ phải thu tăng lên đột biến cần phải tìm hiểu, phân tích nguyên nhân, dự báo khả năng rủi ro để điều chỉnh lại việc cấp tín dụng cho phù hợp.</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Cá</w:t>
      </w:r>
      <w:r>
        <w:rPr>
          <w:rFonts w:ascii="Times New Roman" w:hAnsi="Times New Roman" w:cs="Times New Roman"/>
          <w:sz w:val="26"/>
          <w:szCs w:val="26"/>
          <w:highlight w:val="yellow"/>
        </w:rPr>
        <w:t xml:space="preserve">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Trong các khoản phải thu, đặc biệt lưu ý cần phải phân tích đánh giá các khoản phải thu của nhóm khách hàng và người có liên quan: Thỏa thuận mua bán gì? Cách thức thanh t</w:t>
      </w:r>
      <w:r>
        <w:rPr>
          <w:rFonts w:ascii="Times New Roman" w:hAnsi="Times New Roman" w:cs="Times New Roman"/>
          <w:sz w:val="26"/>
          <w:szCs w:val="26"/>
          <w:highlight w:val="yellow"/>
        </w:rPr>
        <w:t xml:space="preserve">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  </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Khi phân tích, phát sinh các khoản phải thu không hợp lý, dễ dẫn đến rủi ro cần phải đưa ra thông tin cảnh báo để Người phê duyệt cấp tín dụng nắm bắt được trước khi ra quyết định cho vay đối với khách hàng.</w:t>
      </w:r>
      <w:r>
        <w:rPr>
          <w:sz w:val="26"/>
          <w:szCs w:val="28"/>
        </w:rPr>
      </w:r>
      <w:r>
        <w:rPr>
          <w:sz w:val="26"/>
          <w:szCs w:val="28"/>
        </w:rPr>
      </w:r>
    </w:p>
    <w:p>
      <w:pPr>
        <w:pBdr/>
        <w:spacing/>
        <w:ind w:firstLine="567"/>
        <w:jc w:val="both"/>
        <w:rPr>
          <w:sz w:val="26"/>
          <w:szCs w:val="26"/>
        </w:rPr>
      </w:pPr>
      <w:r>
        <w:rPr>
          <w:rFonts w:ascii="Times New Roman" w:hAnsi="Times New Roman" w:cs="Times New Roman"/>
          <w:sz w:val="26"/>
          <w:szCs w:val="26"/>
        </w:rPr>
        <w:t xml:space="preserve">Các khoản phải thu ngắn hạn năm [Năm liền kề -1] là [Các khoản phải thu ngắn hạn:] đồng, đến 31/12/[Năm liền kề] của Công ty là [Các khoản phải thu ngắn hạn] đồng, chênh lệch [CL Các khoản phải thu ngắn hạn] đồng so với năm trước, trong đó:</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Phải thu khách hàng: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Số liệu năm [Năm liền kề -1] là [Phải thu ngắn hạn của KH:] đồng, đến 31/12/[Năm liền kề] là [Phải thu ngắn hạn của KH] đồng; chênh lệch [CL Phải thu ngắn hạn của KH] đồng so với năm trước.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phải thu khách hàng chiếm tỷ trọng lớn:</w:t>
      </w:r>
      <w:r>
        <w:rPr>
          <w:sz w:val="26"/>
          <w:szCs w:val="26"/>
        </w:rPr>
      </w:r>
      <w:r>
        <w:rPr>
          <w:sz w:val="26"/>
          <w:szCs w:val="26"/>
        </w:rPr>
      </w:r>
    </w:p>
    <w:p>
      <w:pPr>
        <w:pBdr/>
        <w:spacing/>
        <w:ind/>
        <w:jc w:val="right"/>
        <w:rPr>
          <w:sz w:val="26"/>
          <w:szCs w:val="26"/>
        </w:rPr>
      </w:pPr>
      <w:r>
        <w:rPr>
          <w:rFonts w:ascii="Times New Roman" w:hAnsi="Times New Roman" w:cs="Times New Roman"/>
          <w:i/>
          <w:iCs/>
          <w:sz w:val="26"/>
          <w:szCs w:val="26"/>
        </w:rPr>
        <w:t xml:space="preserve">Đơn vi: đồng</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6"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Tên 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Ban QLDA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Bộ chỉ huy quân sự tỉnh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Các khách hàng khác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Một số khoản phải thu tập trung ở các khách hàng lớn như .............., đây là những chủ đầu tư lớn, có uy tín mà công ty đã thực hiện nhiều dự án và luôn hoàn thành đầy đủ công nợ...</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Công ty không có các khoản phải thu thuộc nhóm khách hàng có liên quan.</w:t>
      </w:r>
      <w:r>
        <w:rPr>
          <w:sz w:val="26"/>
          <w:szCs w:val="26"/>
        </w:rPr>
      </w:r>
      <w:r>
        <w:rPr>
          <w:sz w:val="26"/>
          <w:szCs w:val="26"/>
        </w:rPr>
      </w:r>
    </w:p>
    <w:p>
      <w:pPr>
        <w:pBdr/>
        <w:spacing/>
        <w:ind w:firstLine="567"/>
        <w:jc w:val="both"/>
        <w:rPr>
          <w:b/>
          <w:bCs/>
          <w:iCs/>
          <w:sz w:val="26"/>
          <w:szCs w:val="26"/>
        </w:rPr>
      </w:pPr>
      <w:r>
        <w:rPr>
          <w:rFonts w:ascii="Times New Roman" w:hAnsi="Times New Roman" w:cs="Times New Roman"/>
          <w:b/>
          <w:bCs/>
          <w:sz w:val="26"/>
          <w:szCs w:val="26"/>
        </w:rPr>
        <w:t xml:space="preserve">+) Trả trước cho người bán ngắn hạn</w:t>
      </w:r>
      <w:r>
        <w:rPr>
          <w:b/>
          <w:bCs/>
          <w:iCs/>
          <w:sz w:val="26"/>
          <w:szCs w:val="26"/>
        </w:rPr>
      </w:r>
      <w:r>
        <w:rPr>
          <w:b/>
          <w:bCs/>
          <w:iCs/>
          <w:sz w:val="26"/>
          <w:szCs w:val="26"/>
        </w:rPr>
      </w:r>
    </w:p>
    <w:p>
      <w:pPr>
        <w:pBdr/>
        <w:spacing/>
        <w:ind w:firstLine="567"/>
        <w:jc w:val="both"/>
        <w:rPr>
          <w:bCs/>
          <w:iCs/>
          <w:sz w:val="26"/>
          <w:szCs w:val="26"/>
        </w:rPr>
      </w:pPr>
      <w:r>
        <w:rPr>
          <w:rFonts w:ascii="Times New Roman" w:hAnsi="Times New Roman" w:cs="Times New Roman"/>
          <w:sz w:val="26"/>
          <w:szCs w:val="26"/>
          <w:highlight w:val="yellow"/>
        </w:rPr>
        <w:t xml:space="preserve">Các khoản trả trước cho người bán thường là khoản đặt trước tiền hàng: Mua hàng hóa, nguyên liệu sản xuất. Ngoài ra còn có các khoản đặt trước để mua vật tư, thiết </w:t>
      </w:r>
      <w:r>
        <w:rPr>
          <w:rFonts w:ascii="Times New Roman" w:hAnsi="Times New Roman" w:cs="Times New Roman"/>
          <w:sz w:val="26"/>
          <w:szCs w:val="26"/>
          <w:highlight w:val="yellow"/>
        </w:rPr>
        <w:t xml:space="preserve">bị... cho thay thế, sửa chữa, đầu tư dự án nhưng chưa hạch toán vào chi phí đầu tư dài hạn...Trả trước người bán là các khoản Công ty tạm ứng cho đối tác cung cấp vật tư, vật liệu xây dựng phục vụ hoạt động xây dựng của doanh nghiệp.</w:t>
      </w:r>
      <w:r>
        <w:rPr>
          <w:rFonts w:ascii="Times New Roman" w:hAnsi="Times New Roman" w:cs="Times New Roman"/>
          <w:sz w:val="26"/>
          <w:szCs w:val="26"/>
        </w:rPr>
        <w:t xml:space="preserve"> </w:t>
      </w:r>
      <w:r>
        <w:rPr>
          <w:bCs/>
          <w:iCs/>
          <w:sz w:val="26"/>
          <w:szCs w:val="26"/>
        </w:rPr>
      </w:r>
      <w:r>
        <w:rPr>
          <w:bCs/>
          <w:iCs/>
          <w:sz w:val="26"/>
          <w:szCs w:val="26"/>
        </w:rPr>
      </w:r>
    </w:p>
    <w:p>
      <w:pPr>
        <w:pBdr/>
        <w:spacing/>
        <w:ind w:firstLine="567"/>
        <w:jc w:val="both"/>
        <w:rPr>
          <w:bCs/>
          <w:iCs/>
          <w:sz w:val="26"/>
          <w:szCs w:val="26"/>
        </w:rPr>
      </w:pPr>
      <w:r>
        <w:rPr>
          <w:rFonts w:ascii="Times New Roman" w:hAnsi="Times New Roman" w:cs="Times New Roman"/>
          <w:sz w:val="26"/>
          <w:szCs w:val="26"/>
        </w:rPr>
        <w:t xml:space="preserve">Tr</w:t>
      </w:r>
      <w:r>
        <w:rPr>
          <w:rFonts w:ascii="Times New Roman" w:hAnsi="Times New Roman" w:cs="Times New Roman"/>
          <w:sz w:val="26"/>
          <w:szCs w:val="26"/>
        </w:rPr>
        <w:t xml:space="preserve">ả trước ngắn hạn năm [Năm liền kề -1] là [Trả trước cho ng bán ngắn hạn:] đồng, đến 31/12/[Năm liền kề] là [Trả trước cho ng bán ngắn hạn] đồng, chênh lệch [CL Trả trước cho ng bán ngắn hạn] đồng so với năm trước do ............  </w:t>
      </w:r>
      <w:r>
        <w:rPr>
          <w:bCs/>
          <w:iCs/>
          <w:sz w:val="26"/>
          <w:szCs w:val="26"/>
        </w:rPr>
      </w:r>
      <w:r>
        <w:rPr>
          <w:bCs/>
          <w:iCs/>
          <w:sz w:val="26"/>
          <w:szCs w:val="26"/>
        </w:rPr>
      </w:r>
    </w:p>
    <w:p>
      <w:pPr>
        <w:pBdr/>
        <w:spacing/>
        <w:ind w:firstLine="567"/>
        <w:jc w:val="both"/>
        <w:rPr>
          <w:bCs/>
          <w:iCs/>
          <w:sz w:val="26"/>
          <w:szCs w:val="26"/>
        </w:rPr>
      </w:pPr>
      <w:r>
        <w:rPr>
          <w:rFonts w:ascii="Times New Roman" w:hAnsi="Times New Roman" w:cs="Times New Roman"/>
          <w:sz w:val="26"/>
          <w:szCs w:val="26"/>
        </w:rPr>
        <w:t xml:space="preserve">Chi tiết trả trước cho người bán ngắn hạn:</w:t>
      </w:r>
      <w:r>
        <w:rPr>
          <w:bCs/>
          <w:iCs/>
          <w:sz w:val="26"/>
          <w:szCs w:val="26"/>
        </w:rPr>
      </w:r>
      <w:r>
        <w:rPr>
          <w:bCs/>
          <w:iCs/>
          <w:sz w:val="26"/>
          <w:szCs w:val="26"/>
        </w:rPr>
      </w:r>
    </w:p>
    <w:p>
      <w:pPr>
        <w:pBdr/>
        <w:spacing/>
        <w:ind/>
        <w:jc w:val="right"/>
        <w:rPr>
          <w:i/>
          <w:sz w:val="26"/>
          <w:szCs w:val="26"/>
        </w:rPr>
      </w:pPr>
      <w:r>
        <w:rPr>
          <w:rFonts w:ascii="Times New Roman" w:hAnsi="Times New Roman" w:cs="Times New Roman"/>
          <w:i/>
          <w:iCs/>
          <w:sz w:val="26"/>
          <w:szCs w:val="26"/>
        </w:rPr>
        <w:t xml:space="preserve">Đơn vi: đồng</w:t>
      </w:r>
      <w:r>
        <w:rPr>
          <w:i/>
          <w:sz w:val="26"/>
          <w:szCs w:val="26"/>
        </w:rPr>
      </w:r>
      <w:r>
        <w:rPr>
          <w:i/>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6"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Tên 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CP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TNHH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Các khách hàng khác</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b/>
          <w:sz w:val="26"/>
          <w:szCs w:val="26"/>
        </w:rPr>
      </w:pPr>
      <w:r>
        <w:rPr>
          <w:rFonts w:ascii="Times New Roman" w:hAnsi="Times New Roman" w:cs="Times New Roman"/>
          <w:b/>
          <w:bCs/>
          <w:sz w:val="26"/>
          <w:szCs w:val="26"/>
        </w:rPr>
        <w:t xml:space="preserve">+) Phải thu ngắn hạn khác</w:t>
      </w:r>
      <w:r>
        <w:rPr>
          <w:b/>
          <w:sz w:val="26"/>
          <w:szCs w:val="26"/>
        </w:rPr>
      </w:r>
      <w:r>
        <w:rPr>
          <w:b/>
          <w:sz w:val="26"/>
          <w:szCs w:val="26"/>
        </w:rPr>
      </w:r>
    </w:p>
    <w:p>
      <w:pPr>
        <w:pBdr/>
        <w:spacing/>
        <w:ind w:firstLine="567"/>
        <w:jc w:val="both"/>
        <w:rPr>
          <w:rFonts w:eastAsia="Calibri"/>
          <w:sz w:val="26"/>
          <w:szCs w:val="26"/>
          <w:highlight w:val="yellow"/>
        </w:rPr>
      </w:pPr>
      <w:r>
        <w:rPr>
          <w:sz w:val="26"/>
          <w:szCs w:val="26"/>
          <w:highlight w:val="yellow"/>
        </w:rPr>
        <w:t xml:space="preserve">Trong các khoản phải thu, đặc biệt lưu ý cần phải phân tích đánh giá các khoản phải thu của nhóm khách hàng và người có liên quan: Thỏa thuận mua bán gì? Cách thức thanh</w:t>
      </w:r>
      <w:r>
        <w:rPr>
          <w:sz w:val="26"/>
          <w:szCs w:val="26"/>
          <w:highlight w:val="yellow"/>
        </w:rPr>
        <w:t xml:space="preserve"> toán?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w:t>
      </w:r>
      <w:r>
        <w:rPr>
          <w:rFonts w:eastAsia="Calibri"/>
          <w:sz w:val="26"/>
          <w:szCs w:val="26"/>
          <w:highlight w:val="yellow"/>
        </w:rPr>
      </w:r>
      <w:r>
        <w:rPr>
          <w:rFonts w:eastAsia="Calibri"/>
          <w:sz w:val="26"/>
          <w:szCs w:val="26"/>
          <w:highlight w:val="yellow"/>
        </w:rPr>
      </w:r>
    </w:p>
    <w:p>
      <w:pPr>
        <w:pBdr/>
        <w:spacing/>
        <w:ind w:firstLine="567"/>
        <w:jc w:val="both"/>
        <w:rPr>
          <w:b/>
          <w:sz w:val="26"/>
          <w:szCs w:val="26"/>
        </w:rPr>
      </w:pPr>
      <w:r>
        <w:rPr>
          <w:rFonts w:ascii="Times New Roman" w:hAnsi="Times New Roman" w:cs="Times New Roman"/>
          <w:b/>
          <w:bCs/>
          <w:sz w:val="26"/>
          <w:szCs w:val="26"/>
          <w:highlight w:val="yellow"/>
        </w:rPr>
        <w:t xml:space="preserve">Khi phân tích, phát sinh các khoản phải thu không hợp lý, dễ dẫn đến rủi ro cần phải đưa ra thông tin cảnh báo để Người phê duyệt cấp tín dụng nắm bắt được trước khi ra quyết định cho vay đối với khách hàng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Số liệu tại thời điểm 31/12/[Năm liền kề -1] là [Phải thu ngắn hạn khác:] đồng, đến 31/12/[Năm liền kề] là [Phải thu ngắn hạn khác], chênh lệch [CL Phải thu ngắn hạn khác] đồng so với năm trước và chiếm tỷ trọng .....%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Hàng tồn kho:</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Để bảo đảm cho quá trình kinh doanh được tiến hành liên tục, không bị gián đoạn, doanh nghiệp phải xác định được lượng hàng tồn kho dự trữ hợp lý. Lượng hàng tồn kho dự trữ hợp lý là lượng dự trữ vừa đáp ứng được nhu cầu kinh doanh liên tục, vừa</w:t>
      </w:r>
      <w:r>
        <w:rPr>
          <w:rFonts w:ascii="Times New Roman" w:hAnsi="Times New Roman" w:cs="Times New Roman"/>
          <w:sz w:val="26"/>
          <w:szCs w:val="26"/>
          <w:highlight w:val="yellow"/>
        </w:rPr>
        <w:t xml:space="preserve"> không gia tăng chi phí tồn kho gây ứ đọng vốn. Lượng dự trữ hợp lý phụ thuộc vào nhiều nhân tố, trong đó chủ yếu vào quy mô sản xuất, tiêu thụ (lượng vật tư tiêu dùng hay hàng hóa tiêu thụ bình quân một ngày đêm), vào mức độ chuyên môn hóa, vào hệ thống c</w:t>
      </w:r>
      <w:r>
        <w:rPr>
          <w:rFonts w:ascii="Times New Roman" w:hAnsi="Times New Roman" w:cs="Times New Roman"/>
          <w:sz w:val="26"/>
          <w:szCs w:val="26"/>
          <w:highlight w:val="yellow"/>
        </w:rPr>
        <w:t xml:space="preserve">ung cấp, vào tình hình tài chính của doanh nghiệp và vào các nguyên nhân khác (tính thời vụ; vào định mức tiêu hao vật tư; vào thuộc tính tự nhiên của vật tư, hàng hóa; vào việc bảo đảm các phương tiện vận chuyển cũng như khả năng cung cấp của người bán).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Khi xem xét tỷ t</w:t>
      </w:r>
      <w:r>
        <w:rPr>
          <w:rFonts w:ascii="Times New Roman" w:hAnsi="Times New Roman" w:cs="Times New Roman"/>
          <w:sz w:val="26"/>
          <w:szCs w:val="26"/>
          <w:highlight w:val="yellow"/>
        </w:rPr>
        <w:t xml:space="preserve">rọng hàng tồn kho chiếm trong tổng số tài sản, cần liên hệ với ngành nghề và lĩnh vực kinh doanh của doanh nghiệp, với chính sách dự trữ, với tính thời vụ của kinh doanh và với chu kỳ sống của sản phẩm, hàng hóa. Ví dụ: trong các doanh nghiệp kinh doanh th</w:t>
      </w:r>
      <w:r>
        <w:rPr>
          <w:rFonts w:ascii="Times New Roman" w:hAnsi="Times New Roman" w:cs="Times New Roman"/>
          <w:sz w:val="26"/>
          <w:szCs w:val="26"/>
          <w:highlight w:val="yellow"/>
        </w:rPr>
        <w:t xml:space="preserve">ương mại, tỷ trọng hàng tồn kho thường lớn do đối tượng kinh doanh của các doanh nghiệp này là mua hàng (số lượng lớn) để bán ra (bán sỉ, bán lẻ); trong các doanh nghiệp kinh doanh dịch vụ (khách sạn, giải trí...), tỷ trọng hàng tồn kho thường chiếm tỷ trọ</w:t>
      </w:r>
      <w:r>
        <w:rPr>
          <w:rFonts w:ascii="Times New Roman" w:hAnsi="Times New Roman" w:cs="Times New Roman"/>
          <w:sz w:val="26"/>
          <w:szCs w:val="26"/>
          <w:highlight w:val="yellow"/>
        </w:rPr>
        <w:t xml:space="preserve">ng thấp; đối với các doanh nghiệp sản xuất, kinh doanh mang tính thời vụ, vào những thời điểm nhất định trong năm, tỷ trọng hàng tồn kho thường rất cao do yêu cầu dự trữ thời vụ, ngược lại, vào những thời điểm khác, lượng hàng tồn kho lại quá thấp. Mặt khá</w:t>
      </w:r>
      <w:r>
        <w:rPr>
          <w:rFonts w:ascii="Times New Roman" w:hAnsi="Times New Roman" w:cs="Times New Roman"/>
          <w:sz w:val="26"/>
          <w:szCs w:val="26"/>
          <w:highlight w:val="yellow"/>
        </w:rPr>
        <w:t xml:space="preserve">c, khi sản phẩm, hàng hóa đang ở giai đoạn tăng trưởng, DN cũng có thể tăng lượng dự trữ hàng để đáp ứng nhu cầu chiếm lính thị trường nhưng khi sản phẩm, hàng hóa ở vào giai đoạn suy thoái, để tránh rủi ro, DN phải giảm lượng hàng tồn kho ở mức thấp nhất.</w:t>
      </w:r>
      <w:r>
        <w:rPr>
          <w:sz w:val="26"/>
          <w:szCs w:val="26"/>
          <w:highlight w:val="yellow"/>
        </w:rPr>
      </w:r>
      <w:r>
        <w:rPr>
          <w:sz w:val="26"/>
          <w:szCs w:val="26"/>
          <w:highlight w:val="yellow"/>
        </w:rPr>
      </w:r>
    </w:p>
    <w:p>
      <w:pPr>
        <w:pBdr/>
        <w:spacing/>
        <w:ind w:firstLine="567"/>
        <w:jc w:val="both"/>
        <w:rPr>
          <w:rFonts w:eastAsia="Calibri"/>
          <w:sz w:val="26"/>
          <w:szCs w:val="26"/>
        </w:rPr>
      </w:pPr>
      <w:r>
        <w:rPr>
          <w:sz w:val="26"/>
          <w:szCs w:val="26"/>
          <w:highlight w:val="yellow"/>
        </w:rPr>
        <w:t xml:space="preserve">Đối với hoạt động kinh doanh thương mại: lưu ý phân tích, đánh giá về kho hàng, hàng tồn kho, thị trường/đối tác đầu ra/đầu vào; doanh số phát sinh giao dịck nợ/có của các đối tác là người có liên quan; đối tác vừa cung cấp đầu vào vừa tiêu thụ đầu ra...</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Hàng tồn kho năm [Năm liền kề -1] là [Hàng tồn kho:] đồng, đến 31/12/[Năm liền kề] là [Hàng tồn kho] đồng, chênh lệch [CL Hàng tồn kho] đồng so với năm trước.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tồn kho chiếm tỷ trọng lớn của Công ty.</w:t>
      </w:r>
      <w:r>
        <w:rPr>
          <w:sz w:val="26"/>
          <w:szCs w:val="26"/>
        </w:rPr>
      </w:r>
      <w:r>
        <w:rPr>
          <w:sz w:val="26"/>
          <w:szCs w:val="26"/>
        </w:rPr>
      </w:r>
    </w:p>
    <w:p>
      <w:pPr>
        <w:pBdr/>
        <w:spacing/>
        <w:ind/>
        <w:jc w:val="right"/>
        <w:rPr>
          <w:sz w:val="26"/>
          <w:szCs w:val="26"/>
        </w:rPr>
      </w:pPr>
      <w:r>
        <w:rPr>
          <w:rFonts w:ascii="Times New Roman" w:hAnsi="Times New Roman" w:cs="Times New Roman"/>
          <w:i/>
          <w:iCs/>
          <w:sz w:val="26"/>
          <w:szCs w:val="26"/>
        </w:rPr>
        <w:t xml:space="preserve">Đơn vi: đồng</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Chỉ tiêu</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Hàng tồn kho của Công ty bao gồm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Lý do tăng/giảm hàng tồn kho: do ..................</w:t>
      </w:r>
      <w:r>
        <w:rPr>
          <w:sz w:val="26"/>
          <w:szCs w:val="26"/>
        </w:rPr>
      </w:r>
      <w:r>
        <w:rPr>
          <w:sz w:val="26"/>
          <w:szCs w:val="26"/>
        </w:rPr>
      </w:r>
    </w:p>
    <w:p>
      <w:pPr>
        <w:pBdr/>
        <w:tabs>
          <w:tab w:val="left" w:leader="none" w:pos="8640"/>
        </w:tabs>
        <w:spacing/>
        <w:ind w:firstLine="567"/>
        <w:jc w:val="both"/>
        <w:rPr>
          <w:rFonts w:eastAsia="Calibri"/>
          <w:sz w:val="26"/>
          <w:szCs w:val="26"/>
        </w:rPr>
      </w:pPr>
      <w:r>
        <w:rPr>
          <w:sz w:val="26"/>
          <w:szCs w:val="26"/>
        </w:rPr>
        <w:t xml:space="preserve">+ Tốc độ luân chuyển hàng tồn kho so với kỳ trước, so với cùng kỳ năm trước liền kề, so với DN cùng loại: ........</w:t>
      </w:r>
      <w:r>
        <w:rPr>
          <w:rFonts w:eastAsia="Calibri"/>
          <w:sz w:val="26"/>
          <w:szCs w:val="26"/>
        </w:rPr>
      </w:r>
      <w:r>
        <w:rPr>
          <w:rFonts w:eastAsia="Calibri"/>
          <w:sz w:val="26"/>
          <w:szCs w:val="26"/>
        </w:rPr>
      </w:r>
    </w:p>
    <w:p>
      <w:pPr>
        <w:pBdr/>
        <w:tabs>
          <w:tab w:val="left" w:leader="none" w:pos="8640"/>
        </w:tabs>
        <w:spacing/>
        <w:ind w:firstLine="567"/>
        <w:jc w:val="both"/>
        <w:rPr>
          <w:rFonts w:eastAsia="Calibri"/>
          <w:sz w:val="26"/>
          <w:szCs w:val="26"/>
        </w:rPr>
      </w:pPr>
      <w:r>
        <w:rPr>
          <w:sz w:val="26"/>
          <w:szCs w:val="26"/>
        </w:rPr>
        <w:t xml:space="preserve">+ Đánh giá các loại nguyên vật liệu, thành phẩm tồn kho có giá trị  lớn (chiếm từ 10% tổng giá trị hàng tồn kho/mỗi loại hàng tồn kho): .............</w:t>
      </w:r>
      <w:r>
        <w:rPr>
          <w:rFonts w:eastAsia="Calibri"/>
          <w:sz w:val="26"/>
          <w:szCs w:val="26"/>
        </w:rPr>
      </w:r>
      <w:r>
        <w:rPr>
          <w:rFonts w:eastAsia="Calibri"/>
          <w:sz w:val="26"/>
          <w:szCs w:val="26"/>
        </w:rPr>
      </w:r>
    </w:p>
    <w:p>
      <w:pPr>
        <w:pBdr/>
        <w:tabs>
          <w:tab w:val="left" w:leader="none" w:pos="8640"/>
        </w:tabs>
        <w:spacing/>
        <w:ind w:firstLine="567"/>
        <w:jc w:val="both"/>
        <w:rPr>
          <w:rFonts w:eastAsia="Calibri"/>
          <w:sz w:val="26"/>
          <w:szCs w:val="26"/>
        </w:rPr>
      </w:pPr>
      <w:r>
        <w:rPr>
          <w:sz w:val="26"/>
          <w:szCs w:val="26"/>
        </w:rPr>
        <w:t xml:space="preserve">+ Đánh giá các loại hàng hàng tồn kho chậm luân chuyển, tồn kho kém mất phẩm chất: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Đánh giá việc thực hiện trích lập dự phòng giảm giá hàng tồn kho: ...</w:t>
      </w:r>
      <w:r>
        <w:rPr>
          <w:rFonts w:eastAsia="Calibri"/>
          <w:sz w:val="26"/>
          <w:szCs w:val="26"/>
        </w:rPr>
      </w:r>
      <w:r>
        <w:rPr>
          <w:rFonts w:eastAsia="Calibri"/>
          <w:sz w:val="26"/>
          <w:szCs w:val="26"/>
        </w:rPr>
      </w:r>
    </w:p>
    <w:p>
      <w:pPr>
        <w:pBdr/>
        <w:spacing/>
        <w:ind w:firstLine="567"/>
        <w:jc w:val="both"/>
        <w:rPr>
          <w:b/>
          <w:sz w:val="26"/>
          <w:szCs w:val="26"/>
        </w:rPr>
      </w:pPr>
      <w:r>
        <w:rPr>
          <w:rFonts w:ascii="Times New Roman" w:hAnsi="Times New Roman" w:cs="Times New Roman"/>
          <w:b/>
          <w:bCs/>
          <w:sz w:val="26"/>
          <w:szCs w:val="26"/>
        </w:rPr>
        <w:t xml:space="preserve">- Tài sản ngắn hạn khác:</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Tài sản ngắn hạn khác </w:t>
      </w:r>
      <w:r>
        <w:rPr>
          <w:rFonts w:ascii="Times New Roman" w:hAnsi="Times New Roman" w:cs="Times New Roman"/>
          <w:sz w:val="26"/>
          <w:szCs w:val="26"/>
        </w:rPr>
        <w:t xml:space="preserve">của Công ty năm [Năm liền kề -1] là [Tài sản ngắn hạn khác:] đồng, đến 31/12/[Năm liền kề] là [Tài sản ngắn hạn khác] đồng, chênh lệch [CL Tài sản ngắn hạn khác] đồng so với năm trước. Trả trước ngắn hạn khác chủ yếu là ....  </w:t>
      </w:r>
      <w:r>
        <w:rPr>
          <w:sz w:val="26"/>
          <w:szCs w:val="26"/>
        </w:rPr>
      </w:r>
      <w:r>
        <w:rPr>
          <w:sz w:val="26"/>
          <w:szCs w:val="26"/>
        </w:rPr>
      </w:r>
    </w:p>
    <w:p>
      <w:pPr>
        <w:pStyle w:val="996"/>
        <w:pBdr/>
        <w:spacing w:after="0"/>
        <w:ind w:firstLine="567" w:left="0"/>
        <w:jc w:val="both"/>
        <w:rPr>
          <w:rFonts w:eastAsia="Calibri"/>
          <w:b/>
          <w:sz w:val="26"/>
          <w:szCs w:val="26"/>
        </w:rPr>
      </w:pPr>
      <w:r>
        <w:rPr>
          <w:b/>
          <w:bCs/>
          <w:sz w:val="26"/>
          <w:szCs w:val="26"/>
        </w:rPr>
        <w:t xml:space="preserve">b. Đánh giá tài sản dài hạn:</w:t>
      </w:r>
      <w:r>
        <w:rPr>
          <w:rFonts w:eastAsia="Calibri"/>
          <w:b/>
          <w:sz w:val="26"/>
          <w:szCs w:val="26"/>
        </w:rPr>
      </w:r>
      <w:r>
        <w:rPr>
          <w:rFonts w:eastAsia="Calibri"/>
          <w:b/>
          <w:sz w:val="26"/>
          <w:szCs w:val="26"/>
        </w:rPr>
      </w:r>
    </w:p>
    <w:p>
      <w:pPr>
        <w:pStyle w:val="996"/>
        <w:pBdr/>
        <w:spacing w:after="0"/>
        <w:ind w:firstLine="567" w:left="0"/>
        <w:jc w:val="both"/>
        <w:rPr>
          <w:sz w:val="26"/>
          <w:szCs w:val="26"/>
          <w:highlight w:val="yellow"/>
        </w:rPr>
      </w:pPr>
      <w:r>
        <w:rPr>
          <w:rFonts w:ascii="Times New Roman" w:hAnsi="Times New Roman" w:cs="Times New Roman"/>
          <w:sz w:val="26"/>
          <w:szCs w:val="26"/>
          <w:highlight w:val="yellow"/>
        </w:rPr>
        <w:t xml:space="preserve">- Đánh giá sự thay đổi của Tài sản dài hạn: so sánh với năm trước liền kề về giá trị, tốc độ tăng/giảm tài sản dài hạn; phân tích nguyên nhân tăng/giảm của một số tài sản chủ yếu. </w:t>
      </w:r>
      <w:r>
        <w:rPr>
          <w:sz w:val="26"/>
          <w:szCs w:val="26"/>
          <w:highlight w:val="yellow"/>
        </w:rPr>
      </w:r>
      <w:r>
        <w:rPr>
          <w:sz w:val="26"/>
          <w:szCs w:val="26"/>
          <w:highlight w:val="yellow"/>
        </w:rPr>
      </w:r>
    </w:p>
    <w:p>
      <w:pPr>
        <w:pStyle w:val="996"/>
        <w:pBdr/>
        <w:spacing w:after="0"/>
        <w:ind w:firstLine="567" w:left="0"/>
        <w:jc w:val="both"/>
        <w:rPr>
          <w:sz w:val="26"/>
          <w:szCs w:val="26"/>
          <w:highlight w:val="yellow"/>
        </w:rPr>
      </w:pPr>
      <w:r>
        <w:rPr>
          <w:rFonts w:ascii="Times New Roman" w:hAnsi="Times New Roman" w:cs="Times New Roman"/>
          <w:sz w:val="26"/>
          <w:szCs w:val="26"/>
          <w:highlight w:val="yellow"/>
        </w:rPr>
        <w:t xml:space="preserve">- Đánh giá tình hình trích khấu hao: xem xét việc trích khấu hao có phù hợp với quy định hiện hành hay không?</w:t>
      </w:r>
      <w:r>
        <w:rPr>
          <w:sz w:val="26"/>
          <w:szCs w:val="26"/>
          <w:highlight w:val="yellow"/>
        </w:rPr>
      </w:r>
      <w:r>
        <w:rPr>
          <w:sz w:val="26"/>
          <w:szCs w:val="26"/>
          <w:highlight w:val="yellow"/>
        </w:rPr>
      </w:r>
    </w:p>
    <w:p>
      <w:pPr>
        <w:pStyle w:val="996"/>
        <w:pBdr/>
        <w:spacing w:after="0"/>
        <w:ind w:firstLine="567" w:left="0"/>
        <w:jc w:val="both"/>
        <w:rPr>
          <w:sz w:val="26"/>
          <w:szCs w:val="26"/>
        </w:rPr>
      </w:pPr>
      <w:r>
        <w:rPr>
          <w:rFonts w:ascii="Times New Roman" w:hAnsi="Times New Roman" w:cs="Times New Roman"/>
          <w:sz w:val="26"/>
          <w:szCs w:val="26"/>
          <w:highlight w:val="yellow"/>
        </w:rPr>
        <w:t xml:space="preserve">- Trường hợp có đầu tư XDCB dở dang: đánh giá </w:t>
      </w:r>
      <w:r>
        <w:rPr>
          <w:rFonts w:ascii="Times New Roman" w:hAnsi="Times New Roman" w:cs="Times New Roman"/>
          <w:sz w:val="26"/>
          <w:szCs w:val="26"/>
          <w:highlight w:val="yellow"/>
        </w:rPr>
        <w:t xml:space="preserve">tiến độ thực hiện so với kế hoạch (tổng mức đầu tư của từng dự án đang thực hiện, nguồn vốn kế hoạch cho từng dự án, kế hoạch tham gia vốn đối ứng trong năm theo từng dự án, thực tế tham gia vốn đối ứng theo từng dự án tại thời điểm lập báo cáo tài chính).</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Tài sản dài hạn của Công ty năm [Năm liền kề -1] là [Tài sản dài hạn:] đồng, đến 31/12/[Năm liền kề] là [Tài sản dài hạn] đồng, chênh lệch [CL Tài sản dài hạn] đồng so với năm trước. Trong đó:</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Phải thu dài hạn:</w:t>
      </w:r>
      <w:r>
        <w:rPr>
          <w:b/>
          <w:sz w:val="26"/>
          <w:szCs w:val="26"/>
        </w:rPr>
      </w:r>
      <w:r>
        <w:rPr>
          <w:b/>
          <w:sz w:val="26"/>
          <w:szCs w:val="26"/>
        </w:rPr>
      </w:r>
    </w:p>
    <w:p>
      <w:pPr>
        <w:pBdr/>
        <w:spacing/>
        <w:ind w:firstLine="567"/>
        <w:jc w:val="both"/>
        <w:rPr>
          <w:b/>
          <w:sz w:val="26"/>
          <w:szCs w:val="26"/>
        </w:rPr>
      </w:pPr>
      <w:r>
        <w:rPr>
          <w:rFonts w:ascii="Times New Roman" w:hAnsi="Times New Roman" w:cs="Times New Roman"/>
          <w:b/>
          <w:bCs/>
          <w:sz w:val="26"/>
          <w:szCs w:val="26"/>
        </w:rPr>
        <w:t xml:space="preserve">Phải dài hạn của Công ty năm [Năm liền kề -1] là [Phải thu dài hạn:] đồng, đến 31/12/[Năm liền kề] là [Phải thu dài hạn] đồng, chênh lệch [CL Phải thu dài hạn] đồng so với năm trước.</w:t>
      </w:r>
      <w:r>
        <w:rPr>
          <w:b/>
          <w:sz w:val="26"/>
          <w:szCs w:val="26"/>
        </w:rPr>
      </w:r>
      <w:r>
        <w:rPr>
          <w:b/>
          <w:sz w:val="26"/>
          <w:szCs w:val="26"/>
        </w:rPr>
      </w:r>
    </w:p>
    <w:p>
      <w:pPr>
        <w:pBdr/>
        <w:spacing/>
        <w:ind w:firstLine="567"/>
        <w:jc w:val="both"/>
        <w:rPr>
          <w:b/>
          <w:sz w:val="26"/>
          <w:szCs w:val="26"/>
        </w:rPr>
      </w:pPr>
      <w:r>
        <w:rPr>
          <w:rFonts w:ascii="Times New Roman" w:hAnsi="Times New Roman" w:cs="Times New Roman"/>
          <w:b/>
          <w:bCs/>
          <w:sz w:val="26"/>
          <w:szCs w:val="26"/>
        </w:rPr>
        <w:t xml:space="preserve">- Tài sản cố định hữu hình:</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Nguyên giá tài sản cố định của Công ty số liệu đến cuối</w:t>
      </w:r>
      <w:r>
        <w:rPr>
          <w:rFonts w:ascii="Times New Roman" w:hAnsi="Times New Roman" w:cs="Times New Roman"/>
          <w:sz w:val="26"/>
          <w:szCs w:val="26"/>
        </w:rPr>
        <w:t xml:space="preserve"> năm [Năm liền kề -1] là [Tài sản cố định hữu hình:] đồng, (giá trị hao mòn luỹ kế .......... triệu đồng); đến 31/12/[Năm liền kề] là [Tài sản cố định hữu hình] đồng (giá trị hao mòn luỹ kế là ........ triệu đồng); bao gồm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tài sản cố định theo Bảng theo dõi và tính khấu hao TSCĐ năm [Năm liền kề].</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Đánh giá tình hình trích khấu hao: Công ty thực hiện trích khấu hao đầy đủ theo quy định.</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Các khoản đầu tư tài chính dài hạn:</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 Đánh giá sự biến động của các khoản đầu tư tài chính dài hạn (đầu tư công ty con, liên doanh, liên kết, chứng khoán dài hạn...)</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 Đánh giá hiệu quả của từng khoản đầu tư (thông qua k</w:t>
      </w:r>
      <w:r>
        <w:rPr>
          <w:rFonts w:ascii="Times New Roman" w:hAnsi="Times New Roman" w:cs="Times New Roman"/>
          <w:sz w:val="26"/>
          <w:szCs w:val="26"/>
          <w:highlight w:val="yellow"/>
        </w:rPr>
        <w:t xml:space="preserve">hoản lợi tức hàng năm của các khoản đầu tư). Trường hợp đầu tư không hiệu quả, cần xem xét yếu tố trích lập dự phòng cho các khoản đầu tư tài chính dài hạn (có thể lập bảng bổ sung một số thông tin liên quan đến doanh thu, lợi nhuận của từng khoản đầu tư).</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Đầu tư tài chính dài hạn của Công ty đến cuối năm [Năm liền kề -1] là [Đầu tư tài chính dài hạn:] đồng, đến 31/12/[Năm liền kề] là [Đầu tư tài chính dài hạn] đồng, chênh lệch [CL Đầu tư tài chính dài hạn] đồng so với năm trước. Bao gồm .....</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 Tài sản dài hạn khác: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Số liệu tại 31/12/[Năm liền kề -1] là [Tài sản dài hạn khác:] đồng, đến 31/12/[Năm liền kề] là [Tài sản dài hạn khác] đồng, chênh lệch [CL Tài sản dài hạn khác] đồng so với năm trước</w:t>
      </w:r>
      <w:r>
        <w:rPr>
          <w:sz w:val="26"/>
          <w:szCs w:val="26"/>
        </w:rPr>
      </w:r>
      <w:r>
        <w:rPr>
          <w:sz w:val="26"/>
          <w:szCs w:val="26"/>
        </w:rPr>
      </w:r>
    </w:p>
    <w:p>
      <w:pPr>
        <w:pBdr/>
        <w:spacing/>
        <w:ind w:firstLine="567"/>
        <w:jc w:val="both"/>
        <w:rPr>
          <w:rFonts w:eastAsia="Calibri"/>
          <w:b/>
          <w:sz w:val="26"/>
          <w:szCs w:val="26"/>
        </w:rPr>
      </w:pPr>
      <w:r>
        <w:rPr>
          <w:b/>
          <w:bCs/>
          <w:sz w:val="26"/>
          <w:szCs w:val="26"/>
        </w:rPr>
        <w:t xml:space="preserve">2.2. Về nguồn vốn:</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 Nợ phải trả</w:t>
      </w:r>
      <w:r>
        <w:rPr>
          <w:rFonts w:eastAsia="Calibri"/>
          <w:b/>
          <w:sz w:val="26"/>
          <w:szCs w:val="26"/>
        </w:rPr>
      </w:r>
      <w:r>
        <w:rPr>
          <w:rFonts w:eastAsia="Calibri"/>
          <w:b/>
          <w:sz w:val="26"/>
          <w:szCs w:val="26"/>
        </w:rPr>
      </w:r>
    </w:p>
    <w:p>
      <w:pPr>
        <w:pBdr/>
        <w:spacing/>
        <w:ind w:firstLine="567"/>
        <w:jc w:val="both"/>
        <w:rPr>
          <w:b/>
          <w:sz w:val="26"/>
          <w:szCs w:val="26"/>
        </w:rPr>
      </w:pPr>
      <w:r>
        <w:rPr>
          <w:rFonts w:ascii="Times New Roman" w:hAnsi="Times New Roman" w:cs="Times New Roman"/>
          <w:b/>
          <w:bCs/>
          <w:sz w:val="26"/>
          <w:szCs w:val="26"/>
        </w:rPr>
        <w:t xml:space="preserve">+) Phải trả người bán ngắn hạn:</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sự tăng/giảm so với thời điểm cùng kỳ, phân tích nguyên nhân; đánh giá khả năng chiếm dụng vốn; xác định mức độ uy tín của khách hàng</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Phải trả người bán ngắn hạn đến cuối năm [Năm liền kề -1] là [Phải trả người bán ngắn hạn:] đồng, đến 31/12/[Năm liền kề] là [Phải trả người bán ngắn hạn] đồng, chênh lệch [CL Phải trả người bán ngắn hạn] đồng so với năm trước.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một số khách hàng lớn:</w:t>
      </w:r>
      <w:r>
        <w:rPr>
          <w:sz w:val="26"/>
          <w:szCs w:val="26"/>
        </w:rPr>
      </w:r>
      <w:r>
        <w:rPr>
          <w:sz w:val="26"/>
          <w:szCs w:val="26"/>
        </w:rPr>
      </w:r>
    </w:p>
    <w:p>
      <w:pPr>
        <w:pBdr/>
        <w:spacing/>
        <w:ind/>
        <w:jc w:val="right"/>
        <w:rPr>
          <w:i/>
          <w:sz w:val="26"/>
          <w:szCs w:val="26"/>
        </w:rPr>
      </w:pPr>
      <w:r>
        <w:rPr>
          <w:rFonts w:ascii="Times New Roman" w:hAnsi="Times New Roman" w:cs="Times New Roman"/>
          <w:i/>
          <w:iCs/>
          <w:sz w:val="26"/>
          <w:szCs w:val="26"/>
        </w:rPr>
        <w:t xml:space="preserve">Đơn vị: đồng </w:t>
      </w:r>
      <w:r>
        <w:rPr>
          <w:i/>
          <w:sz w:val="26"/>
          <w:szCs w:val="26"/>
        </w:rPr>
      </w:r>
      <w:r>
        <w:rPr>
          <w:i/>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Công ty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Công ty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Các khách hàng khác</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Các khoản phải trả chủ yếu là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Người mua trả tiền trước ngắn hạn:</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Người mua trả t</w:t>
      </w:r>
      <w:r>
        <w:rPr>
          <w:rFonts w:ascii="Times New Roman" w:hAnsi="Times New Roman" w:cs="Times New Roman"/>
          <w:sz w:val="26"/>
          <w:szCs w:val="26"/>
        </w:rPr>
        <w:t xml:space="preserve">iền trước ngắn hạn cuối năm [Năm liền kề -1] là [Người mua trả tiền trước ngắn hạn:] đồng, đến 31/12/[Năm liền kề] là [Người mua trả tiền trước ngắn hạn] đồng, chênh lệch [CL Người mua trả tiền trước ngắn hạn] đồng so với năm trước. Bao gồm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Thuế và các khoản phải nộp nhà nước:</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Năm [Năm liền kề -1] thuế và các khoản nộp nhà n</w:t>
      </w:r>
      <w:r>
        <w:rPr>
          <w:rFonts w:ascii="Times New Roman" w:hAnsi="Times New Roman" w:cs="Times New Roman"/>
          <w:sz w:val="26"/>
          <w:szCs w:val="26"/>
        </w:rPr>
        <w:t xml:space="preserve">ước là [Thuế và các khoản phải nộp nhà nước:] đồng, năm [Năm liền kề] là [Thuế và các khoản phải nộp nhà nước] đồng, chênh lệch [CL Thuế và các khoản phải nộp nhà nước] đồng so với năm trước, chủ yếu là khoản phải nộp thuế GTGT và thuế TNDN.</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Vay và nợ thuê tài chính ngắn hạn:</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tình hình tăng/giảm so với các thời điểm, phân tích nguyên nhân. Nêu rõ các khoản nợ vay của DN tại các Tổ chức tín dụng và cá nhân, tổ chức khác (số tiền vay, hạn trả, lãi suất). So sánh tỷ trọng cấp tín dụng của Agribank/TCTD khác (nếu có).</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Số liệu năm [Năm liền kề -1] là [Vay và nợ thuê tài chính ngắn hạn:] đồng, đến 31/12/[Năm liền kề] là [Vay và nợ thuê tài chính ngắn hạn] đồng, chênh lệch [CL Vay và nợ thuê tài chính ngắn hạn] đồng so với năm trước. Bao gồm .....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Vay và nợ thuê tài chính dài hạn: </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tình hình vay nợ dài hạn của các TCTD, của bên thứ ba.</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Số liệu năm [Năm liền kề -1] là [Vay và nợ thuê tài chính dài hạn:] đồng, năm [Năm liền kề] là [Vay và nợ thuê tài chính dài hạn] đồng, chênh lệch [CL Vay và nợ thuê tài chính dài hạn] đồng so với năm trước. Bao gồm .... </w:t>
      </w:r>
      <w:r>
        <w:rPr>
          <w:sz w:val="26"/>
          <w:szCs w:val="26"/>
        </w:rPr>
      </w:r>
      <w:r>
        <w:rPr>
          <w:sz w:val="26"/>
          <w:szCs w:val="26"/>
        </w:rPr>
      </w:r>
    </w:p>
    <w:p>
      <w:pPr>
        <w:pBdr/>
        <w:spacing/>
        <w:ind w:firstLine="567"/>
        <w:jc w:val="both"/>
        <w:rPr>
          <w:rFonts w:eastAsia="Calibri"/>
          <w:b/>
          <w:sz w:val="26"/>
          <w:szCs w:val="26"/>
        </w:rPr>
      </w:pPr>
      <w:r>
        <w:rPr>
          <w:b/>
          <w:bCs/>
          <w:sz w:val="26"/>
          <w:szCs w:val="26"/>
        </w:rPr>
        <w:t xml:space="preserve">- Nguồn vốn chủ sở hữu</w:t>
      </w:r>
      <w:r>
        <w:rPr>
          <w:rFonts w:eastAsia="Calibri"/>
          <w:b/>
          <w:sz w:val="26"/>
          <w:szCs w:val="26"/>
        </w:rPr>
      </w:r>
      <w:r>
        <w:rPr>
          <w:rFonts w:eastAsia="Calibri"/>
          <w:b/>
          <w:sz w:val="26"/>
          <w:szCs w:val="26"/>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Đánh giá tình hình tăng/giảm nguồn vốn chủ sở hữu của DN so với các năm trước liền kề, tốc độ tăng/ giảm nguồn vốn chủ sở hữu.</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Đối chi</w:t>
      </w:r>
      <w:r>
        <w:rPr>
          <w:rFonts w:ascii="Times New Roman" w:hAnsi="Times New Roman" w:cs="Times New Roman"/>
          <w:sz w:val="26"/>
          <w:szCs w:val="26"/>
          <w:highlight w:val="yellow"/>
        </w:rPr>
        <w:t xml:space="preserve">ếu vốn điều lệ hạch toán trên báo cáo tài chính với vốn điều lệ trên giấy chứng nhận đăng ký kinh doanh và giấy chứng nhận góp vốn/sổ cổ đông, các chứng từ kế toán liên quan đến góp vốn để xác định DN đã thực hiện góp đủ vốn điều lệ theo quy định hay chưa?</w:t>
      </w:r>
      <w:r>
        <w:rPr>
          <w:sz w:val="26"/>
          <w:szCs w:val="28"/>
          <w:highlight w:val="yellow"/>
        </w:rPr>
      </w:r>
      <w:r>
        <w:rPr>
          <w:sz w:val="26"/>
          <w:szCs w:val="28"/>
          <w:highlight w:val="yellow"/>
        </w:rPr>
      </w:r>
    </w:p>
    <w:p>
      <w:pPr>
        <w:pBdr/>
        <w:tabs>
          <w:tab w:val="left" w:leader="none" w:pos="567"/>
        </w:tabs>
        <w:spacing/>
        <w:ind w:firstLine="567"/>
        <w:jc w:val="both"/>
        <w:rPr>
          <w:sz w:val="26"/>
          <w:szCs w:val="28"/>
          <w:highlight w:val="yellow"/>
        </w:rPr>
      </w:pPr>
      <w:r>
        <w:tab/>
      </w:r>
      <w:r>
        <w:rPr>
          <w:rFonts w:ascii="Times New Roman" w:hAnsi="Times New Roman" w:cs="Times New Roman"/>
          <w:sz w:val="26"/>
          <w:szCs w:val="26"/>
          <w:highlight w:val="yellow"/>
        </w:rPr>
        <w:t xml:space="preserve">- Đánh giá việc hạch toán nguồn vốn chủ sở hữu trên bảng cân đối kế toán có đúng quy định hay không, lưu ý các nguồn vốn “khác”, “vay dài hạn cổ đông”…</w:t>
      </w:r>
      <w:r>
        <w:rPr>
          <w:sz w:val="26"/>
          <w:szCs w:val="28"/>
          <w:highlight w:val="yellow"/>
        </w:rPr>
      </w:r>
      <w:r>
        <w:rPr>
          <w:sz w:val="26"/>
          <w:szCs w:val="28"/>
          <w:highlight w:val="yellow"/>
        </w:rPr>
      </w:r>
    </w:p>
    <w:p>
      <w:pPr>
        <w:pBdr/>
        <w:tabs>
          <w:tab w:val="left" w:leader="none" w:pos="567"/>
        </w:tabs>
        <w:spacing/>
        <w:ind w:firstLine="567"/>
        <w:jc w:val="both"/>
        <w:rPr>
          <w:sz w:val="26"/>
          <w:szCs w:val="28"/>
          <w:highlight w:val="yellow"/>
        </w:rPr>
      </w:pPr>
      <w:r>
        <w:tab/>
      </w:r>
      <w:r>
        <w:rPr>
          <w:rFonts w:ascii="Times New Roman" w:hAnsi="Times New Roman" w:cs="Times New Roman"/>
          <w:sz w:val="26"/>
          <w:szCs w:val="26"/>
          <w:highlight w:val="yellow"/>
        </w:rPr>
        <w:t xml:space="preserve">- Đánh giá nguồn vốn chủ sở hữu thực tham gia vào hoạt động kinh doanh như vốn điều lệ chưa thực góp mà hạch toán có “nguồn vốn chủ sở hữu” và ghi “nợ phải thu”; nguồn vốn chủ sở hữu đầu tư cho công ty con, việc “sở hữu chéo”;</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 Đánh giá việc định giá tài sản khi góp vốn bằng tài sản, định giá lại tài sản để tăng vốn chủ sở hữu.</w:t>
      </w:r>
      <w:r>
        <w:rPr>
          <w:sz w:val="26"/>
          <w:szCs w:val="28"/>
        </w:rPr>
      </w:r>
      <w:r>
        <w:rPr>
          <w:sz w:val="26"/>
          <w:szCs w:val="28"/>
        </w:rPr>
      </w:r>
    </w:p>
    <w:p>
      <w:pPr>
        <w:pBdr/>
        <w:spacing/>
        <w:ind w:firstLine="567"/>
        <w:jc w:val="both"/>
        <w:rPr>
          <w:sz w:val="26"/>
          <w:szCs w:val="26"/>
        </w:rPr>
      </w:pPr>
      <w:r>
        <w:rPr>
          <w:rFonts w:ascii="Times New Roman" w:hAnsi="Times New Roman" w:cs="Times New Roman"/>
          <w:sz w:val="26"/>
          <w:szCs w:val="26"/>
        </w:rPr>
        <w:t xml:space="preserve">+ Vốn đầu tư của chủ sở hữu năm [Năm liền kề -1] là [Vốn góp của chủ sở hữu:] đồng, năm [Năm liền kề] là [Vốn góp của chủ sở hữu]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Theo đăng ký kinh doanh, Vốn điều lệ của doanh nghiệp là [Vốn điều lệ] đồng. Như vậy đến 31/12/[Năm liền kề] các cổ đông công ty đã thực hiện việc góp vốn được ........ % vốn điều lệ theo đăng ký kinh doanh.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Lợi nhuậ</w:t>
      </w:r>
      <w:r>
        <w:rPr>
          <w:rFonts w:ascii="Times New Roman" w:hAnsi="Times New Roman" w:cs="Times New Roman"/>
          <w:sz w:val="26"/>
          <w:szCs w:val="26"/>
        </w:rPr>
        <w:t xml:space="preserve">n sau thuế chưa phân phối của Công ty năm [Năm liền kề -1] là [Lợi nhuận sau thuế chưa phân phối:] đồng, đến 31/12/[Năm liền kề] là [Lợi nhuận sau thuế chưa phân phối] đồng, chênh lệch [CL Lợi nhuận sau thuế chưa phân phối] đồng so với năm trước.</w:t>
      </w:r>
      <w:r>
        <w:rPr>
          <w:sz w:val="26"/>
          <w:szCs w:val="26"/>
        </w:rPr>
      </w:r>
      <w:r>
        <w:rPr>
          <w:sz w:val="26"/>
          <w:szCs w:val="26"/>
        </w:rPr>
      </w:r>
    </w:p>
    <w:p>
      <w:pPr>
        <w:pBdr/>
        <w:spacing/>
        <w:ind w:firstLine="567"/>
        <w:jc w:val="both"/>
        <w:rPr>
          <w:rFonts w:eastAsia="Calibri"/>
          <w:b/>
          <w:bCs/>
          <w:sz w:val="26"/>
          <w:szCs w:val="26"/>
        </w:rPr>
      </w:pPr>
      <w:r>
        <w:rPr>
          <w:b/>
          <w:bCs/>
          <w:sz w:val="26"/>
          <w:szCs w:val="26"/>
        </w:rPr>
        <w:t xml:space="preserve">3. Kết quả hoạt động SXKD:</w:t>
      </w:r>
      <w:r>
        <w:rPr>
          <w:rFonts w:eastAsia="Calibri"/>
          <w:b/>
          <w:bCs/>
          <w:sz w:val="26"/>
          <w:szCs w:val="26"/>
        </w:rPr>
      </w:r>
      <w:r>
        <w:rPr>
          <w:rFonts w:eastAsia="Calibri"/>
          <w:b/>
          <w:bCs/>
          <w:sz w:val="26"/>
          <w:szCs w:val="26"/>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Lập biểu thống kê doanh thu, chi phí, lợi nhuận của 2 năm gần nhất và/hoặc thời điểm quý...); so sánh tăng/giảm so với các thời điểm trước cả về giá trị, tỷ lệ tăng, giảm.</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 Phân tích số liệu doanh thu để đánh giá hiệu </w:t>
      </w:r>
      <w:r>
        <w:rPr>
          <w:rFonts w:ascii="Times New Roman" w:hAnsi="Times New Roman" w:cs="Times New Roman"/>
          <w:sz w:val="26"/>
          <w:szCs w:val="26"/>
          <w:highlight w:val="yellow"/>
        </w:rPr>
        <w:t xml:space="preserve">quả kinh doanh của DN: so sánh các khoản mục chi phí như chi phí khấu hao (không tính đúng, tính đủ khấu hao), lãi vay (chưa hạch toán đầy đủ các khoản lãi vay phải trả trong năm tài chính vào báo cáo kết quả sản xuất kinh doanh mà treo trên tài khoản các </w:t>
      </w:r>
      <w:r>
        <w:rPr>
          <w:rFonts w:ascii="Times New Roman" w:hAnsi="Times New Roman" w:cs="Times New Roman"/>
          <w:sz w:val="26"/>
          <w:szCs w:val="26"/>
          <w:highlight w:val="yellow"/>
        </w:rPr>
        <w:t xml:space="preserve">khoản phải trả), trích lập dự phòng (không thực hiện trích lập dự phòng đối với các khản phải thu khó đòi, hàng hóa tồn kho bị giảm giá, kém chất lượng); giá vốn với doanh thu tại các thời điểm để đánh giá tính hợp lý của các chỉ tiêu. Phân tích kết quả ki</w:t>
      </w:r>
      <w:r>
        <w:rPr>
          <w:rFonts w:ascii="Times New Roman" w:hAnsi="Times New Roman" w:cs="Times New Roman"/>
          <w:sz w:val="26"/>
          <w:szCs w:val="26"/>
          <w:highlight w:val="yellow"/>
        </w:rPr>
        <w:t xml:space="preserve">nh doanh theo mặt hàng, ngành hàng chủ yếu; diễn biến doanh thu theo từng thị trường (xuất khẩu, nội địa)  để đánh giá điểm mạnh, điểm yếu dẫn đến kết quả hoạt động kinh doanh tốt hay xấu làm cơ sở dự báo khả năng hoạt động kinh doanh kỳ tiếp theo.</w:t>
      </w:r>
      <w:r>
        <w:rPr>
          <w:sz w:val="26"/>
          <w:szCs w:val="28"/>
        </w:rPr>
      </w:r>
      <w:r>
        <w:rPr>
          <w:sz w:val="26"/>
          <w:szCs w:val="28"/>
        </w:rPr>
      </w:r>
    </w:p>
    <w:p>
      <w:pPr>
        <w:pBdr/>
        <w:spacing/>
        <w:ind/>
        <w:jc w:val="both"/>
        <w:rPr>
          <w:rFonts w:eastAsia="Calibri"/>
          <w:b/>
          <w:bCs/>
          <w:color w:val="000000"/>
          <w:sz w:val="26"/>
          <w:szCs w:val="26"/>
        </w:rPr>
      </w:pPr>
      <w:r>
        <w:rPr>
          <w:rFonts w:eastAsia="Calibri"/>
          <w:b/>
          <w:bCs/>
          <w:color w:val="000000"/>
          <w:sz w:val="26"/>
          <w:szCs w:val="26"/>
        </w:rPr>
      </w:r>
      <w:r>
        <w:rPr>
          <w:rFonts w:eastAsia="Calibri"/>
          <w:b/>
          <w:bCs/>
          <w:color w:val="000000"/>
          <w:sz w:val="26"/>
          <w:szCs w:val="26"/>
        </w:rPr>
      </w:r>
      <w:r>
        <w:rPr>
          <w:rFonts w:eastAsia="Calibri"/>
          <w:b/>
          <w:bCs/>
          <w:color w:val="000000"/>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jc w:val="center"/>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center"/>
              <w:rPr>
                <w:b/>
                <w:bCs/>
              </w:rPr>
            </w:pPr>
            <w:r>
              <w:rPr>
                <w:rFonts w:ascii="Times New Roman" w:hAnsi="Times New Roman" w:cs="Times New Roman"/>
                <w:b/>
                <w:bCs/>
                <w:sz w:val="24"/>
                <w:szCs w:val="24"/>
              </w:rPr>
              <w:t xml:space="preserve">So sánh [Năm liền kề]-[Năm liền kề -1]</w:t>
            </w:r>
            <w:r>
              <w:rPr>
                <w:b/>
                <w:bCs/>
              </w:rPr>
            </w:r>
            <w:r>
              <w:rPr>
                <w:b/>
                <w:bCs/>
              </w:rP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Tỷ lệ %</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bCs/>
              </w:rPr>
            </w:pPr>
            <w:r>
              <w:rPr>
                <w:rFonts w:ascii="Times New Roman" w:hAnsi="Times New Roman" w:cs="Times New Roman"/>
                <w:sz w:val="24"/>
                <w:szCs w:val="24"/>
              </w:rPr>
              <w:t xml:space="preserve">Doanh thu bán hàng và cung cấp dịch vụ</w:t>
            </w:r>
            <w:r>
              <w:rPr>
                <w:bCs/>
              </w:rPr>
            </w:r>
            <w:r>
              <w:rPr>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bán hàng và cung cấp dịch vụ:]</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bán hàng và cung cấp dịch vụ]</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Doanh thu bán hàng và cung cấp dịch vụ]</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pPr>
            <w:r>
              <w:rPr>
                <w:rFonts w:ascii="Times New Roman" w:hAnsi="Times New Roman" w:cs="Times New Roman"/>
                <w:sz w:val="24"/>
                <w:szCs w:val="24"/>
              </w:rPr>
              <w:t xml:space="preserve">Doanh thu thuần về bán hàng và cung cấp dịch vụ</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thuần:]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thuần]</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Doanh thu thuần]</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Giá vốn hàng bán]</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bCs/>
              </w:rPr>
            </w:pPr>
            <w:r>
              <w:rPr>
                <w:rFonts w:ascii="Times New Roman" w:hAnsi="Times New Roman" w:cs="Times New Roman"/>
                <w:sz w:val="24"/>
                <w:szCs w:val="24"/>
              </w:rPr>
              <w:t xml:space="preserve">Tổng lợi nhuận sau thuế</w:t>
            </w:r>
            <w:r>
              <w:rPr>
                <w:bCs/>
              </w:rPr>
            </w:r>
            <w:r>
              <w:rPr>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Lợi nhuận sau thuế]</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bl>
    <w:p>
      <w:pPr>
        <w:pBdr/>
        <w:spacing/>
        <w:ind w:firstLine="567"/>
        <w:jc w:val="both"/>
        <w:rPr>
          <w:bCs/>
          <w:sz w:val="26"/>
          <w:szCs w:val="26"/>
        </w:rPr>
      </w:pPr>
      <w:r>
        <w:rPr>
          <w:rFonts w:ascii="Times New Roman" w:hAnsi="Times New Roman" w:cs="Times New Roman"/>
          <w:sz w:val="26"/>
          <w:szCs w:val="26"/>
        </w:rPr>
        <w:t xml:space="preserve">Doanh thu năm [Năm liền kề] của công ty đạt [Doanh thu bán hàng và cung cấp dịch vụ] đồng, chênh lệch so với năm trước [CL Doanh thu bán hàng và cung cấp dịch vụ] đồng.</w:t>
      </w:r>
      <w:r>
        <w:rPr>
          <w:bCs/>
          <w:sz w:val="26"/>
          <w:szCs w:val="26"/>
        </w:rPr>
      </w:r>
      <w:r>
        <w:rPr>
          <w:bCs/>
          <w:sz w:val="26"/>
          <w:szCs w:val="26"/>
        </w:rPr>
      </w:r>
    </w:p>
    <w:p>
      <w:pPr>
        <w:pBdr/>
        <w:spacing/>
        <w:ind w:firstLine="567"/>
        <w:jc w:val="both"/>
        <w:rPr>
          <w:sz w:val="26"/>
          <w:szCs w:val="28"/>
        </w:rPr>
      </w:pPr>
      <w:r>
        <w:rPr>
          <w:rFonts w:ascii="Times New Roman" w:hAnsi="Times New Roman" w:cs="Times New Roman"/>
          <w:sz w:val="26"/>
          <w:szCs w:val="26"/>
        </w:rPr>
        <w:t xml:space="preserve">Đánh giá kết quả sản xuất kinh doanh của Công ty trong các năm gần đây: ......................</w:t>
      </w:r>
      <w:r>
        <w:rPr>
          <w:sz w:val="26"/>
          <w:szCs w:val="28"/>
        </w:rPr>
      </w:r>
      <w:r>
        <w:rPr>
          <w:sz w:val="26"/>
          <w:szCs w:val="28"/>
        </w:rPr>
      </w:r>
    </w:p>
    <w:p>
      <w:pPr>
        <w:pBdr/>
        <w:spacing/>
        <w:ind w:firstLine="567"/>
        <w:jc w:val="both"/>
        <w:rPr>
          <w:bCs/>
          <w:sz w:val="26"/>
          <w:szCs w:val="26"/>
        </w:rPr>
      </w:pPr>
      <w:r>
        <w:rPr>
          <w:rFonts w:ascii="Times New Roman" w:hAnsi="Times New Roman" w:cs="Times New Roman"/>
          <w:sz w:val="26"/>
          <w:szCs w:val="26"/>
        </w:rPr>
        <w:t xml:space="preserve">Các chỉ tiêu giá vốn hàng bán, chi phí quản lý doanh nghiệp, lợi nhuận gộp trên doanh thu ổn định qua các năm điều này cho thấy hoạt động sản xuất kinh doanh của doanh nghiệp ổn định qua các năm.</w:t>
      </w:r>
      <w:r>
        <w:rPr>
          <w:bCs/>
          <w:sz w:val="26"/>
          <w:szCs w:val="26"/>
        </w:rPr>
      </w:r>
      <w:r>
        <w:rPr>
          <w:bCs/>
          <w:sz w:val="26"/>
          <w:szCs w:val="26"/>
        </w:rPr>
      </w:r>
    </w:p>
    <w:p>
      <w:pPr>
        <w:pBdr/>
        <w:spacing/>
        <w:ind w:firstLine="567"/>
        <w:jc w:val="both"/>
        <w:rPr>
          <w:bCs/>
          <w:sz w:val="26"/>
          <w:szCs w:val="26"/>
        </w:rPr>
      </w:pPr>
      <w:r>
        <w:rPr>
          <w:rFonts w:ascii="Times New Roman" w:hAnsi="Times New Roman" w:cs="Times New Roman"/>
          <w:sz w:val="26"/>
          <w:szCs w:val="26"/>
        </w:rPr>
        <w:t xml:space="preserve">Năm [Năm liền kề] lợi nhuận sau thuế của Công ty đạt [Lợi nhuận sau thuế] đồng, tăng/giảm [CL Lợi nhuận sau thuế] đồng so với năm trước.</w:t>
      </w:r>
      <w:r>
        <w:rPr>
          <w:bCs/>
          <w:sz w:val="26"/>
          <w:szCs w:val="26"/>
        </w:rPr>
      </w:r>
      <w:r>
        <w:rPr>
          <w:bCs/>
          <w:sz w:val="26"/>
          <w:szCs w:val="26"/>
        </w:rPr>
      </w:r>
    </w:p>
    <w:p>
      <w:pPr>
        <w:pBdr/>
        <w:spacing/>
        <w:ind w:firstLine="567"/>
        <w:jc w:val="both"/>
        <w:rPr>
          <w:rFonts w:eastAsia="Calibri"/>
          <w:b/>
          <w:bCs/>
          <w:sz w:val="26"/>
          <w:szCs w:val="26"/>
        </w:rPr>
      </w:pPr>
      <w:r>
        <w:rPr>
          <w:b/>
          <w:bCs/>
          <w:sz w:val="26"/>
          <w:szCs w:val="26"/>
        </w:rPr>
        <w:t xml:space="preserve">4. Các chỉ tiêu tài chính: </w:t>
      </w:r>
      <w:r>
        <w:rPr>
          <w:rFonts w:eastAsia="Calibri"/>
          <w:b/>
          <w:bCs/>
          <w:sz w:val="26"/>
          <w:szCs w:val="26"/>
        </w:rPr>
      </w:r>
      <w:r>
        <w:rPr>
          <w:rFonts w:eastAsia="Calibri"/>
          <w:b/>
          <w:bCs/>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jc w:val="center"/>
              <w:rPr>
                <w:b/>
                <w:bCs/>
                <w:sz w:val="26"/>
                <w:szCs w:val="26"/>
              </w:rPr>
            </w:pPr>
            <w:r>
              <w:rPr>
                <w:rFonts w:ascii="Times New Roman" w:hAnsi="Times New Roman" w:cs="Times New Roman"/>
                <w:b/>
                <w:bCs/>
                <w:sz w:val="26"/>
                <w:szCs w:val="26"/>
              </w:rPr>
              <w:t xml:space="preserve">CÁC HỆ SỐ TÀI CHÍNH</w:t>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1357"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35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1. Các chỉ tiêu về thanh khoản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thanh toán ngắn hạn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ngắn hạn:]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ngắn hạn]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thanh toán nhanh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nhanh:]</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nhanh]</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b/>
                <w:bCs/>
                <w:iCs/>
                <w:sz w:val="26"/>
                <w:szCs w:val="26"/>
              </w:rPr>
            </w:pPr>
            <w:r>
              <w:rPr>
                <w:rFonts w:ascii="Times New Roman" w:hAnsi="Times New Roman" w:cs="Times New Roman"/>
                <w:b/>
                <w:bCs/>
                <w:sz w:val="26"/>
                <w:szCs w:val="26"/>
              </w:rPr>
              <w:t xml:space="preserve">2. Các chỉ tiêu về hoạt động</w:t>
            </w:r>
            <w:r>
              <w:rPr>
                <w:b/>
                <w:bCs/>
                <w:iCs/>
                <w:sz w:val="26"/>
                <w:szCs w:val="26"/>
              </w:rPr>
            </w:r>
            <w:r>
              <w:rPr>
                <w:b/>
                <w:bCs/>
                <w:iCs/>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b/>
                <w:sz w:val="26"/>
                <w:szCs w:val="26"/>
              </w:rPr>
            </w:pPr>
            <w:r>
              <w:rPr>
                <w:b/>
                <w:sz w:val="26"/>
                <w:szCs w:val="26"/>
              </w:rPr>
            </w:r>
            <w:r>
              <w:rPr>
                <w:b/>
                <w:sz w:val="26"/>
                <w:szCs w:val="26"/>
              </w:rPr>
            </w:r>
            <w:r>
              <w:rPr>
                <w:b/>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b/>
                <w:sz w:val="26"/>
                <w:szCs w:val="26"/>
              </w:rPr>
            </w:pPr>
            <w:r>
              <w:rPr>
                <w:b/>
                <w:sz w:val="26"/>
                <w:szCs w:val="26"/>
              </w:rPr>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các khoản phải thu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khoản phải thu:]</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khoản phải thu]</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hàng tồn kho</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HTK:]</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HTK]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vốn lưu động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VLĐ:]</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VLĐ]</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3. Các chỉ tiêu cân nợ</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nợ trên vốn chủ sở hữu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nợ ngắn hạn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 vay ngắn hạn:]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 vay ngắn hạn]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4. Các chỉ tiêu sinh lời</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doanh thu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[Lợi nhuận trên doanh thu:]</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[Lợi nhuận trên doanh thu]</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VCSH (ROE)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[ROE:]</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tổng TS (ROA)</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[ROA:]</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[ROA]</w:t>
            </w:r>
            <w:r>
              <w:rPr>
                <w:sz w:val="26"/>
                <w:szCs w:val="26"/>
              </w:rPr>
            </w:r>
            <w:r>
              <w:rPr>
                <w:sz w:val="26"/>
                <w:szCs w:val="26"/>
              </w:rPr>
            </w:r>
          </w:p>
        </w:tc>
      </w:tr>
    </w:tbl>
    <w:p>
      <w:pPr>
        <w:pBdr/>
        <w:spacing/>
        <w:ind w:firstLine="567"/>
        <w:jc w:val="both"/>
        <w:rPr>
          <w:b/>
          <w:bCs/>
          <w:sz w:val="26"/>
          <w:szCs w:val="26"/>
        </w:rPr>
      </w:pPr>
      <w:r>
        <w:rPr>
          <w:rFonts w:ascii="Times New Roman" w:hAnsi="Times New Roman" w:cs="Times New Roman"/>
          <w:b/>
          <w:bCs/>
          <w:sz w:val="26"/>
          <w:szCs w:val="26"/>
        </w:rPr>
        <w:t xml:space="preserve">Đánh giá các chỉ số tài chính:</w:t>
      </w:r>
      <w:r>
        <w:rPr>
          <w:b/>
          <w:bCs/>
          <w:sz w:val="26"/>
          <w:szCs w:val="26"/>
        </w:rPr>
      </w:r>
      <w:r>
        <w:rPr>
          <w:b/>
          <w:bCs/>
          <w:sz w:val="26"/>
          <w:szCs w:val="26"/>
        </w:rPr>
      </w:r>
    </w:p>
    <w:p>
      <w:pPr>
        <w:pBdr/>
        <w:spacing/>
        <w:ind w:firstLine="567"/>
        <w:jc w:val="both"/>
        <w:rPr>
          <w:rFonts w:eastAsia="Calibri"/>
          <w:bCs/>
          <w:sz w:val="26"/>
          <w:szCs w:val="22"/>
        </w:rPr>
      </w:pPr>
      <w:r>
        <w:rPr>
          <w:b/>
          <w:bCs/>
          <w:sz w:val="26"/>
          <w:szCs w:val="26"/>
        </w:rPr>
        <w:t xml:space="preserve">- Hệ số thanh toán ngắn hạn = Tài sản ngắn hạn/Nợ ngắn hạn</w:t>
      </w:r>
      <w:r>
        <w:rPr>
          <w:sz w:val="26"/>
          <w:szCs w:val="26"/>
        </w:rPr>
        <w:t xml:space="preserve">: Chỉ tiêu này cho biết khả năng công t</w:t>
      </w:r>
      <w:r>
        <w:rPr>
          <w:sz w:val="26"/>
          <w:szCs w:val="26"/>
        </w:rPr>
        <w:t xml:space="preserve">y có thể đáp ứng các khoản nợ ngắn hạn bằng tài sản lưu động và đầu tư ngắn hạn. Cụ thể năm [Năm liền kề -1] và năm [Năm liền kề] lần lượt là [KNTT ngắn hạn:] và [KNTT ngắn hạn]. Hệ số này lớn hơn 1 chứng tỏ Công ty có khả năng trả nợ ngắn hạn khi đến hạn.</w:t>
      </w:r>
      <w:r>
        <w:rPr>
          <w:rFonts w:eastAsia="Calibri"/>
          <w:bCs/>
          <w:sz w:val="26"/>
          <w:szCs w:val="22"/>
        </w:rPr>
      </w:r>
      <w:r>
        <w:rPr>
          <w:rFonts w:eastAsia="Calibri"/>
          <w:bCs/>
          <w:sz w:val="26"/>
          <w:szCs w:val="22"/>
        </w:rPr>
      </w:r>
    </w:p>
    <w:p>
      <w:pPr>
        <w:pBdr/>
        <w:spacing/>
        <w:ind w:firstLine="567"/>
        <w:jc w:val="both"/>
        <w:rPr>
          <w:rFonts w:eastAsia="Calibri"/>
          <w:sz w:val="26"/>
          <w:szCs w:val="26"/>
        </w:rPr>
      </w:pPr>
      <w:r>
        <w:rPr>
          <w:b/>
          <w:bCs/>
          <w:sz w:val="26"/>
          <w:szCs w:val="26"/>
        </w:rPr>
        <w:t xml:space="preserve">- Hệ số thanh toán nhanh = (Tài sản ngắn hạn-Hàng tồn kho)/Nợ ngắn hạn</w:t>
      </w:r>
      <w:r>
        <w:rPr>
          <w:sz w:val="26"/>
          <w:szCs w:val="26"/>
        </w:rPr>
        <w:t xml:space="preserve">: Chỉ t</w:t>
      </w:r>
      <w:r>
        <w:rPr>
          <w:sz w:val="26"/>
          <w:szCs w:val="26"/>
        </w:rPr>
        <w:t xml:space="preserve">iêu này cho biết khả năng thanh khoản đối với các khoản nợ ngắn hạn của khách hàng bằng tài sản lưu động (không kể hàng tồn kho). Cụ thể năm [Năm liền kề -1] và năm [Năm liền kề] lần lượt là [KNTT nhanh:] và [KNTT nhanh]. Hệ số này cho thấy .............. </w:t>
      </w:r>
      <w:r>
        <w:rPr>
          <w:rFonts w:eastAsia="Calibri"/>
          <w:sz w:val="26"/>
          <w:szCs w:val="26"/>
        </w:rPr>
      </w:r>
      <w:r>
        <w:rPr>
          <w:rFonts w:eastAsia="Calibri"/>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các khoản phải thu = Doanh thu thuần/Bình quân khoản phải thu</w:t>
      </w:r>
      <w:r>
        <w:rPr>
          <w:rFonts w:ascii="Times New Roman" w:hAnsi="Times New Roman" w:cs="Times New Roman"/>
          <w:sz w:val="26"/>
          <w:szCs w:val="26"/>
        </w:rPr>
        <w:t xml:space="preserve">: Chỉ tiêu này cho biết trong một kỳ kinh doanh, để đạt được doanh thu thì khách hàng phải thu bao nhiêu vòng, chỉ tiêu này càng lớn chứng tỏ tốc độ thu hồi các khoản phải thu là cao, chỉ số này</w:t>
      </w:r>
      <w:r>
        <w:rPr>
          <w:rFonts w:ascii="Times New Roman" w:hAnsi="Times New Roman" w:cs="Times New Roman"/>
          <w:sz w:val="26"/>
          <w:szCs w:val="26"/>
        </w:rPr>
        <w:t xml:space="preserve"> cho biết chính sách bán hàng trả chậm của công ty hay tình trạng thu hồi nợ của doanh nghiệp. Cụ thể vòng quay phải thu năm [Năm liền kề -1] và năm [Năm liền kề] lần lượt là là [Vòng quay khoản phải thu:] và [Vòng quay khoản phải thu] vòng,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Kỳ thu tiền bình quân = 365/ Vòng quay các khoản phải thu</w:t>
      </w:r>
      <w:r>
        <w:rPr>
          <w:rFonts w:ascii="Times New Roman" w:hAnsi="Times New Roman" w:cs="Times New Roman"/>
          <w:sz w:val="26"/>
          <w:szCs w:val="26"/>
        </w:rPr>
        <w:t xml:space="preserve">. Chỉ tiêu này cho biết số ngày trung bình mà công ty thu được tiền của khách hàng. Cụ thể kỳ thu tiền bình quân năm [Năm liền kề -1] và năm [Năm liền kề] lần lượt là [Kỳ thu tiền bình quân:] và [Kỳ thu tiền bình quân] ngày,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hàng tồn kho </w:t>
      </w:r>
      <w:r>
        <w:rPr>
          <w:rFonts w:ascii="Times New Roman" w:hAnsi="Times New Roman" w:cs="Times New Roman"/>
          <w:sz w:val="26"/>
          <w:szCs w:val="26"/>
        </w:rPr>
        <w:t xml:space="preserve">= </w:t>
      </w:r>
      <w:r>
        <w:rPr>
          <w:rFonts w:ascii="Times New Roman" w:hAnsi="Times New Roman" w:cs="Times New Roman"/>
          <w:b/>
          <w:bCs/>
          <w:sz w:val="26"/>
          <w:szCs w:val="26"/>
        </w:rPr>
        <w:t xml:space="preserve">Giá vốn hàng bán/Hàng tồn kho bình quân:</w:t>
      </w:r>
      <w:r>
        <w:rPr>
          <w:rFonts w:ascii="Times New Roman" w:hAnsi="Times New Roman" w:cs="Times New Roman"/>
          <w:sz w:val="26"/>
          <w:szCs w:val="26"/>
        </w:rPr>
        <w:t xml:space="preserve"> Chỉ tiêu này cho biết hàng tồn kho quay được bao nhiêu vòng trong một chu kỳ kinh doanh để tạo ra doanh thu. Vòng quay hàng tồn kho năm [Năm liền kề -1] và năm [Năm liền kề] lần lượt là [Vòng quay HTK:] và [Vòng quay HTK],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Kỳ dự trữ bình quân = 365/Vòng quay hàng tồn kho</w:t>
      </w:r>
      <w:r>
        <w:rPr>
          <w:rFonts w:ascii="Times New Roman" w:hAnsi="Times New Roman" w:cs="Times New Roman"/>
          <w:sz w:val="26"/>
          <w:szCs w:val="26"/>
        </w:rPr>
        <w:t xml:space="preserve">. Chỉ tiêu này cho biết số ngày trung bình mà doanh nghiệp dự trữ hàng tồn kho.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vốn lưu động =</w:t>
      </w:r>
      <w:r>
        <w:rPr>
          <w:rFonts w:ascii="Times New Roman" w:hAnsi="Times New Roman" w:cs="Times New Roman"/>
          <w:sz w:val="26"/>
          <w:szCs w:val="26"/>
        </w:rPr>
        <w:t xml:space="preserve"> </w:t>
      </w:r>
      <w:r>
        <w:rPr>
          <w:rFonts w:ascii="Times New Roman" w:hAnsi="Times New Roman" w:cs="Times New Roman"/>
          <w:b/>
          <w:bCs/>
          <w:sz w:val="26"/>
          <w:szCs w:val="26"/>
        </w:rPr>
        <w:t xml:space="preserve">Doanh thu thuần/Tài sản ngắn hạn bình quân</w:t>
      </w:r>
      <w:r>
        <w:rPr>
          <w:rFonts w:ascii="Times New Roman" w:hAnsi="Times New Roman" w:cs="Times New Roman"/>
          <w:sz w:val="26"/>
          <w:szCs w:val="26"/>
        </w:rPr>
        <w:t xml:space="preserve">: Chỉ tiêu này cho biết hiệu suất sử dụng tài sản lưu động c</w:t>
      </w:r>
      <w:r>
        <w:rPr>
          <w:rFonts w:ascii="Times New Roman" w:hAnsi="Times New Roman" w:cs="Times New Roman"/>
          <w:sz w:val="26"/>
          <w:szCs w:val="26"/>
        </w:rPr>
        <w:t xml:space="preserve">ủa khách hàng, cụ thể là cứ 1 đơn vị tài sản lưu động sử dụng trong kì tạo ra bao nhiêu đơn vị doanh thu thuần. Năm [Năm liền kề -1], vòng quay VLĐ của Công ty là [Vòng quay VLĐ:] vòng. Đến năm [Năm liền kề], vòng quay vốn lưu động là [Vòng quay VLĐ] vòng.</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Hệ số nợ = Nợ phải trả/Tổng Tài sản</w:t>
      </w:r>
      <w:r>
        <w:rPr>
          <w:rFonts w:ascii="Times New Roman" w:hAnsi="Times New Roman" w:cs="Times New Roman"/>
          <w:sz w:val="26"/>
          <w:szCs w:val="26"/>
        </w:rPr>
        <w:t xml:space="preserve">. Chỉ tiêu này cho biết  cứ 1 đồng tài sản thì được hình thành bởi bao nhiêu đồng nợ. Hệ số nợ năm [Năm liền kề -1] và năm [Năm liền kề] lần lượt là [Hệ số nợ:] và [Hệ số nợ],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tự tài trợ </w:t>
      </w:r>
      <w:r>
        <w:rPr>
          <w:rFonts w:ascii="Times New Roman" w:hAnsi="Times New Roman" w:cs="Times New Roman"/>
          <w:sz w:val="26"/>
          <w:szCs w:val="26"/>
        </w:rPr>
        <w:t xml:space="preserve">= </w:t>
      </w:r>
      <w:r>
        <w:rPr>
          <w:rFonts w:ascii="Times New Roman" w:hAnsi="Times New Roman" w:cs="Times New Roman"/>
          <w:b/>
          <w:bCs/>
          <w:sz w:val="26"/>
          <w:szCs w:val="26"/>
        </w:rPr>
        <w:t xml:space="preserve">Nguồn vốn chủ sở hữu/Tổng tài sản.</w:t>
      </w:r>
      <w:r>
        <w:rPr>
          <w:rFonts w:ascii="Times New Roman" w:hAnsi="Times New Roman" w:cs="Times New Roman"/>
          <w:sz w:val="26"/>
          <w:szCs w:val="26"/>
        </w:rPr>
        <w:t xml:space="preserve"> Tỷ suất tự tài trợ xác định khả năn</w:t>
      </w:r>
      <w:r>
        <w:rPr>
          <w:rFonts w:ascii="Times New Roman" w:hAnsi="Times New Roman" w:cs="Times New Roman"/>
          <w:sz w:val="26"/>
          <w:szCs w:val="26"/>
        </w:rPr>
        <w:t xml:space="preserve">g tự bảo đảm về mặt và mức độ độc lập về tài chính của doanh nghiệp, chỉ tiêu này càng cao thì mức độ độc lập về tài chính của công ty càng lớn, tỷ số này qua năm [Năm liền kề -1] và năm [Năm liền kề] lần lượt là [Hệ số tự tài trợ:] và [Hệ số tự tài trợ].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trên doanh thu = Lợi nhuận thuần từ bán hàng và cung cấp dịch vụ/Doanh thu thuần</w:t>
      </w:r>
      <w:r>
        <w:rPr>
          <w:rFonts w:ascii="Times New Roman" w:hAnsi="Times New Roman" w:cs="Times New Roman"/>
          <w:sz w:val="26"/>
          <w:szCs w:val="26"/>
        </w:rPr>
        <w:t xml:space="preserve">. Chỉ tiêu này cho biết hiệ</w:t>
      </w:r>
      <w:r>
        <w:rPr>
          <w:rFonts w:ascii="Times New Roman" w:hAnsi="Times New Roman" w:cs="Times New Roman"/>
          <w:sz w:val="26"/>
          <w:szCs w:val="26"/>
        </w:rPr>
        <w:t xml:space="preserve">u quả kinh doanh của doanh  nghiệp, cứ 1 đơn vị doanh thu thuần trong kỳ thì tạo ra bao nhiêu đơn vị lợi nhuận gộp. Cụ thể năm [Năm liền kề -1] và năm [Năm liền kề] lần lượt là là [Lợi nhuận trên doanh thu:] và [Lợi nhuận trên doanh thu],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trên vốn chủ sở hữu (ROE) =</w:t>
      </w:r>
      <w:r>
        <w:rPr>
          <w:rFonts w:ascii="Times New Roman" w:hAnsi="Times New Roman" w:cs="Times New Roman"/>
          <w:sz w:val="26"/>
          <w:szCs w:val="26"/>
        </w:rPr>
        <w:t xml:space="preserve"> </w:t>
      </w:r>
      <w:r>
        <w:rPr>
          <w:rFonts w:ascii="Times New Roman" w:hAnsi="Times New Roman" w:cs="Times New Roman"/>
          <w:b/>
          <w:bCs/>
          <w:sz w:val="26"/>
          <w:szCs w:val="26"/>
        </w:rPr>
        <w:t xml:space="preserve">Lợi nhuận sau thuế/Nguồn vốn chủ sở hữu</w:t>
      </w:r>
      <w:r>
        <w:rPr>
          <w:rFonts w:ascii="Times New Roman" w:hAnsi="Times New Roman" w:cs="Times New Roman"/>
          <w:sz w:val="26"/>
          <w:szCs w:val="26"/>
        </w:rPr>
        <w:t xml:space="preserve">: Chỉ tiêu này cho biết cứ 1 đơn vị vốn chủ sở hữu bình quân đầu tư vào sản xuất kinh doanh trong kỳ thì tạo ra b</w:t>
      </w:r>
      <w:r>
        <w:rPr>
          <w:rFonts w:ascii="Times New Roman" w:hAnsi="Times New Roman" w:cs="Times New Roman"/>
          <w:sz w:val="26"/>
          <w:szCs w:val="26"/>
        </w:rPr>
        <w:t xml:space="preserve">ao nhiêu đơn vị lợi nhuận sau thuế. Chỉ tiêu này càng cao chứng tỏ hiệu quả sử dụng vốn chủ sở hữu của khách hàng càng cao. Cụ thể năm [Năm liền kề -1] và năm [Năm liền kề] lần lượt là là [ROE:] và [ROE], chỉ tiêu này của công ty duy trì tương đối ổn định.</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ròng trên tài sản (ROA) =</w:t>
      </w:r>
      <w:r>
        <w:rPr>
          <w:rFonts w:ascii="Times New Roman" w:hAnsi="Times New Roman" w:cs="Times New Roman"/>
          <w:sz w:val="26"/>
          <w:szCs w:val="26"/>
        </w:rPr>
        <w:t xml:space="preserve"> </w:t>
      </w:r>
      <w:r>
        <w:rPr>
          <w:rFonts w:ascii="Times New Roman" w:hAnsi="Times New Roman" w:cs="Times New Roman"/>
          <w:b/>
          <w:bCs/>
          <w:sz w:val="26"/>
          <w:szCs w:val="26"/>
        </w:rPr>
        <w:t xml:space="preserve">Lợi nhuận sau thế/Tổng tài sản. </w:t>
      </w:r>
      <w:r>
        <w:rPr>
          <w:rFonts w:ascii="Times New Roman" w:hAnsi="Times New Roman" w:cs="Times New Roman"/>
          <w:sz w:val="26"/>
          <w:szCs w:val="26"/>
        </w:rPr>
        <w:t xml:space="preserve">Chỉ tiêu này cho biết cứ 1 đồng tổng tài sản bình quân sử dụng trong kỳ tạo ra bao nhiêu đồng lợi</w:t>
      </w:r>
      <w:r>
        <w:rPr>
          <w:rFonts w:ascii="Times New Roman" w:hAnsi="Times New Roman" w:cs="Times New Roman"/>
          <w:sz w:val="26"/>
          <w:szCs w:val="26"/>
        </w:rPr>
        <w:t xml:space="preserve"> nhuận sau thuế. Chỉ tiêu này càng cao thể hiện hiệu quả sử dụng tổng tài sản của khách hàng càng cao). Cụ thể năm [Năm liền kề -1] và năm [Năm liền kề] lần lượt là là [ROA:] và [ROA], cho thấy hiệu quả sử dụng tổng tài sản của khách hàng ổn định, hiệu quả</w:t>
      </w:r>
      <w:r>
        <w:rPr>
          <w:bCs/>
          <w:sz w:val="26"/>
          <w:szCs w:val="26"/>
        </w:rPr>
      </w:r>
      <w:r>
        <w:rPr>
          <w:bCs/>
          <w:sz w:val="26"/>
          <w:szCs w:val="26"/>
        </w:rPr>
      </w:r>
    </w:p>
    <w:p>
      <w:pPr>
        <w:pBdr/>
        <w:spacing/>
        <w:ind w:firstLine="567"/>
        <w:jc w:val="both"/>
        <w:rPr>
          <w:b/>
          <w:sz w:val="26"/>
          <w:szCs w:val="26"/>
        </w:rPr>
      </w:pPr>
      <w:r>
        <w:rPr>
          <w:rFonts w:ascii="Times New Roman" w:hAnsi="Times New Roman" w:cs="Times New Roman"/>
          <w:b/>
          <w:bCs/>
          <w:sz w:val="26"/>
          <w:szCs w:val="26"/>
        </w:rPr>
        <w:t xml:space="preserve">* Nhận xét chung: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Qua phân tích tình hình tài chính và hoạt động của [Tên khách hàng] cho thấy:</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Công ty đang có quy mô kinh doanh cũng như việc tăng trưởng </w:t>
      </w:r>
      <w:r>
        <w:rPr>
          <w:rFonts w:ascii="Times New Roman" w:hAnsi="Times New Roman" w:cs="Times New Roman"/>
          <w:sz w:val="26"/>
          <w:szCs w:val="26"/>
        </w:rPr>
        <w:t xml:space="preserve">doanh thu với tốc độ lớn do ký được nhiều hợp đồng kinh tế với .......... Sự tăng trưởng về quy mô kinh doanh kéo theo gia tăng công nợ, gia tăng các khoản phải thu và đòi hỏi việc kiểm soát dòng tiền, bố trí vốn phải được tiến hành chặt chẽ, thường xuyên;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Vốn lưu động được duy trì ổn định, đảm bảo tỷ lệ tham gia của vốn đối ứng, góp phần ổn định sự cân bằng về tài chính.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Công ty đã hoạt động được ... năm. Ban lãnh đạo là người nhanh nhạy và có mối quan hệ rộng trong lĩnh vực ....., điều này đã giúp công ty có nhiều ưu thế trong cạnh tranh và là đối tác với các công ty lớn về doanh nghiệp.</w:t>
      </w:r>
      <w:r>
        <w:rPr>
          <w:sz w:val="26"/>
          <w:szCs w:val="26"/>
        </w:rPr>
      </w:r>
      <w:r>
        <w:rPr>
          <w:sz w:val="26"/>
          <w:szCs w:val="26"/>
        </w:rPr>
      </w:r>
    </w:p>
    <w:p>
      <w:pPr>
        <w:pBdr/>
        <w:spacing/>
        <w:ind w:firstLine="567"/>
        <w:jc w:val="both"/>
        <w:rPr>
          <w:b/>
          <w:sz w:val="26"/>
          <w:szCs w:val="28"/>
        </w:rPr>
      </w:pPr>
      <w:r>
        <w:rPr>
          <w:rFonts w:ascii="Times New Roman" w:hAnsi="Times New Roman" w:cs="Times New Roman"/>
          <w:b/>
          <w:bCs/>
          <w:sz w:val="26"/>
          <w:szCs w:val="26"/>
        </w:rPr>
        <w:t xml:space="preserve">II. Tình hình quan hệ giao dịch với Ngân hàng</w:t>
      </w:r>
      <w:r>
        <w:rPr>
          <w:b/>
          <w:sz w:val="26"/>
          <w:szCs w:val="28"/>
        </w:rPr>
      </w:r>
      <w:r>
        <w:rPr>
          <w:b/>
          <w:sz w:val="26"/>
          <w:szCs w:val="28"/>
        </w:rPr>
      </w:r>
    </w:p>
    <w:p>
      <w:pPr>
        <w:pBdr/>
        <w:tabs>
          <w:tab w:val="left" w:leader="none" w:pos="567"/>
        </w:tabs>
        <w:spacing/>
        <w:ind w:firstLine="567"/>
        <w:jc w:val="both"/>
        <w:rPr>
          <w:rFonts w:eastAsia="Calibri"/>
          <w:b/>
          <w:bCs/>
          <w:sz w:val="26"/>
          <w:szCs w:val="22"/>
        </w:rPr>
      </w:pPr>
      <w:r>
        <w:rPr>
          <w:b/>
          <w:bCs/>
          <w:sz w:val="26"/>
          <w:szCs w:val="26"/>
        </w:rPr>
        <w:t xml:space="preserve">1. Tình hình quan hệ giao dịch của khách hàng với Agribank</w:t>
      </w:r>
      <w:r>
        <w:rPr>
          <w:rFonts w:eastAsia="Calibri"/>
          <w:b/>
          <w:bCs/>
          <w:sz w:val="26"/>
          <w:szCs w:val="22"/>
        </w:rPr>
      </w:r>
      <w:r>
        <w:rPr>
          <w:rFonts w:eastAsia="Calibri"/>
          <w:b/>
          <w:bCs/>
          <w:sz w:val="26"/>
          <w:szCs w:val="22"/>
        </w:rPr>
      </w:r>
    </w:p>
    <w:p>
      <w:pPr>
        <w:pBdr/>
        <w:tabs>
          <w:tab w:val="left" w:leader="none" w:pos="567"/>
        </w:tabs>
        <w:spacing/>
        <w:ind/>
        <w:jc w:val="right"/>
        <w:rPr>
          <w:rFonts w:eastAsia="Calibri"/>
          <w:bCs/>
          <w:i/>
          <w:sz w:val="26"/>
          <w:szCs w:val="22"/>
        </w:rPr>
      </w:pPr>
      <w:r>
        <w:rPr>
          <w:i/>
          <w:iCs/>
          <w:sz w:val="26"/>
          <w:szCs w:val="26"/>
        </w:rPr>
        <w:t xml:space="preserve">Đơn vị: đồng</w:t>
      </w:r>
      <w:r>
        <w:rPr>
          <w:rFonts w:eastAsia="Calibri"/>
          <w:bCs/>
          <w:i/>
          <w:sz w:val="26"/>
          <w:szCs w:val="22"/>
        </w:rPr>
      </w:r>
      <w:r>
        <w:rPr>
          <w:rFonts w:eastAsia="Calibri"/>
          <w:bCs/>
          <w:i/>
          <w:sz w:val="26"/>
          <w:szCs w:val="22"/>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Chỉ tiêu</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center"/>
              <w:rPr>
                <w:rFonts w:eastAsia="Calibri"/>
                <w:b/>
                <w:bCs/>
                <w:sz w:val="26"/>
                <w:szCs w:val="26"/>
              </w:rPr>
            </w:pPr>
            <w:r>
              <w:rPr>
                <w:b/>
                <w:bCs/>
                <w:sz w:val="26"/>
                <w:szCs w:val="26"/>
              </w:rPr>
              <w:t xml:space="preserve">Năm [Năm liền kề]</w:t>
            </w:r>
            <w:r>
              <w:rPr>
                <w:rFonts w:eastAsia="Calibri"/>
                <w:b/>
                <w:bCs/>
                <w:sz w:val="26"/>
                <w:szCs w:val="26"/>
              </w:rPr>
            </w:r>
            <w:r>
              <w:rPr>
                <w:rFonts w:eastAsia="Calibri"/>
                <w:b/>
                <w:bCs/>
                <w:sz w:val="26"/>
                <w:szCs w:val="26"/>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center"/>
              <w:rPr>
                <w:rFonts w:eastAsia="Calibri"/>
                <w:b/>
                <w:bCs/>
                <w:sz w:val="26"/>
                <w:szCs w:val="26"/>
              </w:rPr>
            </w:pPr>
            <w:r>
              <w:rPr>
                <w:b/>
                <w:bCs/>
                <w:sz w:val="26"/>
                <w:szCs w:val="26"/>
              </w:rPr>
              <w:t xml:space="preserve">Năm [Năm]</w:t>
            </w:r>
            <w:r>
              <w:rPr>
                <w:rFonts w:eastAsia="Calibri"/>
                <w:b/>
                <w:bCs/>
                <w:sz w:val="26"/>
                <w:szCs w:val="26"/>
              </w:rPr>
            </w:r>
            <w:r>
              <w:rPr>
                <w:rFonts w:eastAsia="Calibri"/>
                <w:b/>
                <w:bCs/>
                <w:sz w:val="26"/>
                <w:szCs w:val="26"/>
              </w:rPr>
            </w:r>
          </w:p>
          <w:p>
            <w:pPr>
              <w:pBdr/>
              <w:spacing/>
              <w:ind/>
              <w:jc w:val="center"/>
              <w:rPr>
                <w:rFonts w:eastAsia="Calibri"/>
                <w:b/>
                <w:bCs/>
                <w:sz w:val="26"/>
                <w:szCs w:val="26"/>
              </w:rPr>
            </w:pPr>
            <w:r>
              <w:rPr>
                <w:b/>
                <w:bCs/>
                <w:sz w:val="26"/>
                <w:szCs w:val="26"/>
              </w:rPr>
              <w:t xml:space="preserve">(từ đầu năm đến [Ngày báo cáo])</w:t>
            </w:r>
            <w:r>
              <w:rPr>
                <w:rFonts w:eastAsia="Calibri"/>
                <w:b/>
                <w:bCs/>
                <w:sz w:val="26"/>
                <w:szCs w:val="26"/>
              </w:rPr>
            </w:r>
            <w:r>
              <w:rPr>
                <w:rFonts w:eastAsia="Calibri"/>
                <w:b/>
                <w:bCs/>
                <w:sz w:val="26"/>
                <w:szCs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1. Chỉ tiêu tín dụng ngắn hạn</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cho vay</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cho vay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cho vay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thu nợ</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nợ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nợ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Dư nợ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[Dư nợ cuối kỳ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[Dư nợ cuối kỳ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lãi</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lãi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lãi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2. Chỉ tiêu tín dụng trung dài hạn</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cho vay</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cho vay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cho vay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thu nợ</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nợ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nợ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Dư nợ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[Dư nợ cuối kỳ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[Dư nợ cuối kỳ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lãi</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lãi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lãi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3. Chi tiêu bảo lãnh</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bảo lãnh</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[Doanh số bảo lãnh:]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[Doanh số bảo lãnh]</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Số dư bảo lãnh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[Số dư bảo lãnh cuối kỳ:]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[Số dư bảo lãnh cuối kỳ]</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phí</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[Phí bảo lãnh đã thu:]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[Phí bảo lãnh đã thu]</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4. Chỉ tiêu về TTQT</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mở L/C</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[VV.Doanh số mở L/C:]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[VV.Doanh số mở L/C]</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Số dư L/C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[VV.Số dư L/C cuối kỳ:]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[VV.Số dư L/C cuối kỳ]</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phí</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rFonts w:ascii="Times New Roman" w:hAnsi="Times New Roman" w:cs="Times New Roman"/>
                <w:sz w:val="26"/>
                <w:szCs w:val="26"/>
              </w:rPr>
              <w:t xml:space="preserve">[VV.Phí L/C đã thu:]</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rFonts w:ascii="Times New Roman" w:hAnsi="Times New Roman" w:cs="Times New Roman"/>
                <w:sz w:val="26"/>
                <w:szCs w:val="26"/>
              </w:rPr>
              <w:t xml:space="preserve">[VV.Phí L/C đã thu]</w:t>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5. Doanh số chuyển tiền đi</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szCs w:val="26"/>
              </w:rPr>
            </w:pPr>
            <w:r>
              <w:rPr>
                <w:rFonts w:ascii="Times New Roman" w:hAnsi="Times New Roman" w:cs="Times New Roman"/>
                <w:color w:val="000000"/>
                <w:sz w:val="26"/>
                <w:szCs w:val="26"/>
              </w:rPr>
              <w:t xml:space="preserve">[Doanh số chuyển tiền đi:]</w:t>
            </w:r>
            <w:r>
              <w:rPr>
                <w:bCs/>
                <w:sz w:val="26"/>
                <w:szCs w:val="26"/>
              </w:rPr>
            </w:r>
            <w:r>
              <w:rPr>
                <w:bCs/>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rPr>
            </w:pPr>
            <w:r>
              <w:rPr>
                <w:rFonts w:ascii="Times New Roman" w:hAnsi="Times New Roman" w:cs="Times New Roman"/>
                <w:color w:val="000000"/>
                <w:sz w:val="26"/>
                <w:szCs w:val="26"/>
              </w:rPr>
              <w:t xml:space="preserve">[Doanh số chuyển tiền đi]</w:t>
            </w:r>
            <w:r>
              <w:rPr>
                <w:bCs/>
                <w:sz w:val="26"/>
              </w:rPr>
            </w:r>
            <w:r>
              <w:rPr>
                <w:bCs/>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6. Doanh số chuyển tiền đến</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szCs w:val="26"/>
              </w:rPr>
            </w:pPr>
            <w:r>
              <w:rPr>
                <w:rFonts w:ascii="Times New Roman" w:hAnsi="Times New Roman" w:cs="Times New Roman"/>
                <w:color w:val="000000"/>
                <w:sz w:val="26"/>
                <w:szCs w:val="26"/>
              </w:rPr>
              <w:t xml:space="preserve">[Doanh số chuyển tiền đến:]</w:t>
            </w:r>
            <w:r>
              <w:rPr>
                <w:bCs/>
                <w:sz w:val="26"/>
                <w:szCs w:val="26"/>
              </w:rPr>
            </w:r>
            <w:r>
              <w:rPr>
                <w:bCs/>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rPr>
            </w:pPr>
            <w:r>
              <w:rPr>
                <w:rFonts w:ascii="Times New Roman" w:hAnsi="Times New Roman" w:cs="Times New Roman"/>
                <w:color w:val="000000"/>
                <w:sz w:val="26"/>
                <w:szCs w:val="26"/>
              </w:rPr>
              <w:t xml:space="preserve">[Doanh số chuyển tiền đến]</w:t>
            </w:r>
            <w:r>
              <w:rPr>
                <w:bCs/>
                <w:sz w:val="26"/>
              </w:rPr>
            </w:r>
            <w:r>
              <w:rPr>
                <w:bCs/>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jc w:val="both"/>
              <w:rPr>
                <w:bCs/>
                <w:sz w:val="26"/>
                <w:szCs w:val="28"/>
              </w:rPr>
            </w:pPr>
            <w:r>
              <w:rPr>
                <w:rFonts w:ascii="Times New Roman" w:hAnsi="Times New Roman" w:cs="Times New Roman"/>
                <w:sz w:val="26"/>
                <w:szCs w:val="26"/>
              </w:rPr>
              <w:t xml:space="preserve">7. Doanh thu </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rPr>
            </w:pPr>
            <w:r>
              <w:rPr>
                <w:sz w:val="26"/>
              </w:rPr>
            </w:r>
            <w:r>
              <w:rPr>
                <w:sz w:val="26"/>
              </w:rPr>
            </w:r>
            <w:r>
              <w:rPr>
                <w:sz w:val="26"/>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rPr>
            </w:pPr>
            <w:r>
              <w:rPr>
                <w:sz w:val="26"/>
              </w:rPr>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8. Tiền thu bán hàng và dịch vụ </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9. Tỷ trọng cấp tín dụng tại Agribank/Tổng dư cấp tín dụng tại các TCTD</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10. Tỷ trọng doanh số chuyển tiền đến/ tiền thu bán hàng và dịch vụ</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bl>
    <w:p>
      <w:pPr>
        <w:pBdr/>
        <w:tabs>
          <w:tab w:val="left" w:leader="none" w:pos="567"/>
        </w:tabs>
        <w:spacing/>
        <w:ind w:firstLine="567"/>
        <w:jc w:val="both"/>
        <w:rPr>
          <w:b/>
          <w:sz w:val="26"/>
        </w:rPr>
      </w:pPr>
      <w:r>
        <w:tab/>
      </w:r>
      <w:r>
        <w:rPr>
          <w:rFonts w:ascii="Times New Roman" w:hAnsi="Times New Roman" w:cs="Times New Roman"/>
          <w:b/>
          <w:bCs/>
          <w:sz w:val="26"/>
          <w:szCs w:val="26"/>
        </w:rPr>
        <w:t xml:space="preserve">2. Tình hình hoạt động của khách hàng và người có liên quan </w:t>
      </w:r>
      <w:r>
        <w:rPr>
          <w:b/>
          <w:sz w:val="26"/>
        </w:rPr>
      </w:r>
      <w:r>
        <w:rPr>
          <w:b/>
          <w:sz w:val="26"/>
        </w:rPr>
      </w:r>
    </w:p>
    <w:p>
      <w:pPr>
        <w:pBdr/>
        <w:spacing/>
        <w:ind w:firstLine="567"/>
        <w:jc w:val="both"/>
        <w:rPr>
          <w:bCs/>
          <w:iCs/>
          <w:sz w:val="26"/>
        </w:rPr>
      </w:pPr>
      <w:r>
        <w:rPr>
          <w:rFonts w:ascii="Times New Roman" w:hAnsi="Times New Roman" w:cs="Times New Roman"/>
          <w:sz w:val="26"/>
          <w:szCs w:val="26"/>
        </w:rPr>
        <w:t xml:space="preserve">- Về hoạt động của nhóm</w:t>
      </w:r>
      <w:r>
        <w:rPr>
          <w:bCs/>
          <w:iCs/>
          <w:sz w:val="26"/>
        </w:rPr>
      </w:r>
      <w:r>
        <w:rPr>
          <w:bCs/>
          <w:iCs/>
          <w:sz w:val="26"/>
        </w:rPr>
      </w:r>
    </w:p>
    <w:p>
      <w:pPr>
        <w:pBdr/>
        <w:spacing/>
        <w:ind w:firstLine="567"/>
        <w:jc w:val="both"/>
        <w:rPr>
          <w:bCs/>
          <w:iCs/>
          <w:sz w:val="26"/>
        </w:rPr>
      </w:pPr>
      <w:r>
        <w:rPr>
          <w:rFonts w:ascii="Times New Roman" w:hAnsi="Times New Roman" w:cs="Times New Roman"/>
          <w:sz w:val="26"/>
          <w:szCs w:val="26"/>
          <w:highlight w:val="yellow"/>
        </w:rPr>
        <w:t xml:space="preserve">Đánh giá mối quan hệ giữa khách hàng và người có liên quan, vai trò ảnh hưởng giữa các thành viên trong nhóm</w:t>
      </w:r>
      <w:r>
        <w:rPr>
          <w:bCs/>
          <w:iCs/>
          <w:sz w:val="26"/>
        </w:rPr>
      </w:r>
      <w:r>
        <w:rPr>
          <w:bCs/>
          <w:iCs/>
          <w:sz w:val="26"/>
        </w:rPr>
      </w:r>
    </w:p>
    <w:p>
      <w:pPr>
        <w:pBdr/>
        <w:spacing/>
        <w:ind w:firstLine="567"/>
        <w:contextualSpacing w:val="true"/>
        <w:jc w:val="both"/>
        <w:rPr>
          <w:rFonts w:eastAsia="Calibri"/>
          <w:bCs/>
          <w:iCs/>
          <w:sz w:val="26"/>
        </w:rPr>
      </w:pPr>
      <w:r>
        <w:rPr>
          <w:sz w:val="26"/>
          <w:szCs w:val="26"/>
        </w:rPr>
        <w:t xml:space="preserve">- Tình hình tài chính và quan hệ giao dịch với Agribank năm ....</w:t>
      </w:r>
      <w:r>
        <w:rPr>
          <w:rFonts w:eastAsia="Calibri"/>
          <w:bCs/>
          <w:iCs/>
          <w:sz w:val="26"/>
        </w:rPr>
      </w:r>
      <w:r>
        <w:rPr>
          <w:rFonts w:eastAsia="Calibri"/>
          <w:bCs/>
          <w:iCs/>
          <w:sz w:val="26"/>
        </w:rPr>
      </w:r>
    </w:p>
    <w:p>
      <w:pPr>
        <w:pBdr/>
        <w:spacing/>
        <w:ind w:firstLine="567"/>
        <w:contextualSpacing w:val="true"/>
        <w:jc w:val="both"/>
        <w:rPr>
          <w:rFonts w:eastAsia="Calibri"/>
          <w:bCs/>
          <w:iCs/>
          <w:sz w:val="26"/>
          <w:highlight w:val="yellow"/>
        </w:rPr>
      </w:pPr>
      <w:r>
        <w:rPr>
          <w:sz w:val="26"/>
          <w:szCs w:val="26"/>
          <w:highlight w:val="yellow"/>
        </w:rPr>
        <w:t xml:space="preserve">(Chỉ đánh giá các khách hàng có quan hệ tín dụng với Agribank) </w:t>
      </w:r>
      <w:r>
        <w:rPr>
          <w:rFonts w:eastAsia="Calibri"/>
          <w:bCs/>
          <w:iCs/>
          <w:sz w:val="26"/>
          <w:highlight w:val="yellow"/>
        </w:rPr>
      </w:r>
      <w:r>
        <w:rPr>
          <w:rFonts w:eastAsia="Calibri"/>
          <w:bCs/>
          <w:iCs/>
          <w:sz w:val="26"/>
          <w:highlight w:val="yellow"/>
        </w:rPr>
      </w:r>
    </w:p>
    <w:p>
      <w:pPr>
        <w:pBdr/>
        <w:spacing/>
        <w:ind w:firstLine="567"/>
        <w:contextualSpacing w:val="true"/>
        <w:jc w:val="both"/>
        <w:rPr>
          <w:rFonts w:eastAsia="Calibri"/>
          <w:bCs/>
          <w:iCs/>
          <w:sz w:val="26"/>
        </w:rPr>
      </w:pPr>
      <w:r>
        <w:rPr>
          <w:sz w:val="26"/>
          <w:szCs w:val="26"/>
          <w:highlight w:val="yellow"/>
        </w:rPr>
        <w:t xml:space="preserve">- Đánh giá tình hình tài chính của các pháp nhân trong nhóm, cần lưu ý đánh giá các khoản phải thu, phải trả của các khách hàng trong nhóm, vốn chủ sở hữu chéo giữa các khách hàng trong nhóm, để nhận định về mức độ phụ thuộc, sự minh bạch tài chính.</w:t>
      </w:r>
      <w:r>
        <w:rPr>
          <w:rFonts w:eastAsia="Calibri"/>
          <w:bCs/>
          <w:iCs/>
          <w:sz w:val="26"/>
        </w:rPr>
      </w:r>
      <w:r>
        <w:rPr>
          <w:rFonts w:eastAsia="Calibri"/>
          <w:bCs/>
          <w:iCs/>
          <w:sz w:val="26"/>
        </w:rPr>
      </w:r>
    </w:p>
    <w:p>
      <w:pPr>
        <w:pBdr/>
        <w:spacing/>
        <w:ind w:firstLine="567"/>
        <w:contextualSpacing w:val="true"/>
        <w:jc w:val="both"/>
        <w:rPr>
          <w:rFonts w:eastAsia="Calibri"/>
          <w:bCs/>
          <w:iCs/>
          <w:sz w:val="26"/>
        </w:rPr>
      </w:pPr>
      <w:r>
        <w:rPr>
          <w:sz w:val="26"/>
          <w:szCs w:val="26"/>
          <w:highlight w:val="yellow"/>
        </w:rPr>
        <w:t xml:space="preserve">Đánh giá quan hệ giao dịch với Agribank thông qua doanh số chuyển tiền đi, đến, đối chiếu với doanh số mua bán hàng hóa xem có phù hợp không?</w:t>
      </w:r>
      <w:r>
        <w:rPr>
          <w:rFonts w:eastAsia="Calibri"/>
          <w:bCs/>
          <w:iCs/>
          <w:sz w:val="26"/>
        </w:rPr>
      </w:r>
      <w:r>
        <w:rPr>
          <w:rFonts w:eastAsia="Calibri"/>
          <w:bCs/>
          <w:iCs/>
          <w:sz w:val="26"/>
        </w:rPr>
      </w:r>
    </w:p>
    <w:p>
      <w:pPr>
        <w:pBdr/>
        <w:spacing/>
        <w:ind w:firstLine="567"/>
        <w:contextualSpacing w:val="true"/>
        <w:jc w:val="both"/>
        <w:rPr>
          <w:rFonts w:eastAsia="Calibri"/>
          <w:bCs/>
          <w:iCs/>
          <w:sz w:val="26"/>
        </w:rPr>
      </w:pPr>
      <w:r>
        <w:rPr>
          <w:sz w:val="26"/>
          <w:szCs w:val="26"/>
        </w:rPr>
        <w:t xml:space="preserve">- Tình hình hoạt động</w:t>
      </w:r>
      <w:r>
        <w:rPr>
          <w:rFonts w:eastAsia="Calibri"/>
          <w:bCs/>
          <w:iCs/>
          <w:sz w:val="26"/>
        </w:rPr>
      </w:r>
      <w:r>
        <w:rPr>
          <w:rFonts w:eastAsia="Calibri"/>
          <w:bCs/>
          <w:iCs/>
          <w:sz w:val="26"/>
        </w:rPr>
      </w:r>
    </w:p>
    <w:p>
      <w:pPr>
        <w:pBdr/>
        <w:spacing/>
        <w:ind w:firstLine="567"/>
        <w:jc w:val="both"/>
        <w:rPr>
          <w:rFonts w:eastAsia="Arial"/>
          <w:b/>
          <w:sz w:val="26"/>
        </w:rPr>
      </w:pPr>
      <w:r>
        <w:rPr>
          <w:b/>
          <w:bCs/>
          <w:sz w:val="26"/>
          <w:szCs w:val="26"/>
        </w:rPr>
        <w:t xml:space="preserve">3. Tình hình thực hiện các nội dung thỏa thuận trong hợp đồng tín dụng đã ký hoặc theo thông báo phê duyệt của Tổng giám đốc/ Giám đốc kỳ trước (nếu có):</w:t>
      </w:r>
      <w:r>
        <w:rPr>
          <w:rFonts w:eastAsia="Arial"/>
          <w:b/>
          <w:sz w:val="26"/>
        </w:rPr>
      </w:r>
      <w:r>
        <w:rPr>
          <w:rFonts w:eastAsia="Arial"/>
          <w:b/>
          <w:sz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STT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Nội dung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Chi tiết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Tình hình thực hiện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Đánh giá</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contextualSpacing w:val="true"/>
              <w:jc w:val="both"/>
              <w:rPr>
                <w:i/>
                <w:sz w:val="26"/>
                <w:szCs w:val="26"/>
              </w:rPr>
            </w:pPr>
            <w:r>
              <w:rPr>
                <w:i/>
                <w:sz w:val="26"/>
                <w:szCs w:val="26"/>
              </w:rPr>
            </w:r>
            <w:r>
              <w:rPr>
                <w:i/>
                <w:sz w:val="26"/>
                <w:szCs w:val="26"/>
              </w:rPr>
            </w:r>
            <w:r>
              <w:rPr>
                <w:i/>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both"/>
              <w:rPr>
                <w:bCs/>
                <w:spacing w:val="-6"/>
                <w:sz w:val="26"/>
                <w:szCs w:val="26"/>
              </w:rPr>
            </w:pPr>
            <w:r>
              <w:rPr>
                <w:bCs/>
                <w:spacing w:val="-6"/>
                <w:sz w:val="26"/>
                <w:szCs w:val="26"/>
              </w:rPr>
            </w:r>
            <w:r>
              <w:rPr>
                <w:bCs/>
                <w:spacing w:val="-6"/>
                <w:sz w:val="26"/>
                <w:szCs w:val="26"/>
              </w:rPr>
            </w:r>
            <w:r>
              <w:rPr>
                <w:bCs/>
                <w:spacing w:val="-6"/>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contextualSpacing w:val="true"/>
              <w:jc w:val="both"/>
              <w:rPr>
                <w:i/>
                <w:sz w:val="26"/>
                <w:szCs w:val="26"/>
              </w:rPr>
            </w:pPr>
            <w:r>
              <w:rPr>
                <w:i/>
                <w:sz w:val="26"/>
                <w:szCs w:val="26"/>
              </w:rPr>
            </w:r>
            <w:r>
              <w:rPr>
                <w:i/>
                <w:sz w:val="26"/>
                <w:szCs w:val="26"/>
              </w:rPr>
            </w:r>
            <w:r>
              <w:rPr>
                <w:i/>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both"/>
              <w:rPr>
                <w:bCs/>
                <w:spacing w:val="-6"/>
                <w:sz w:val="26"/>
                <w:szCs w:val="26"/>
              </w:rPr>
            </w:pPr>
            <w:r>
              <w:rPr>
                <w:bCs/>
                <w:spacing w:val="-6"/>
                <w:sz w:val="26"/>
                <w:szCs w:val="26"/>
              </w:rPr>
            </w:r>
            <w:r>
              <w:rPr>
                <w:bCs/>
                <w:spacing w:val="-6"/>
                <w:sz w:val="26"/>
                <w:szCs w:val="26"/>
              </w:rPr>
            </w:r>
            <w:r>
              <w:rPr>
                <w:bCs/>
                <w:spacing w:val="-6"/>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r>
    </w:tbl>
    <w:p>
      <w:pPr>
        <w:pBdr/>
        <w:spacing/>
        <w:ind w:firstLine="567"/>
        <w:jc w:val="both"/>
        <w:rPr>
          <w:b/>
          <w:sz w:val="26"/>
          <w:szCs w:val="28"/>
        </w:rPr>
      </w:pPr>
      <w:r>
        <w:rPr>
          <w:rFonts w:ascii="Times New Roman" w:hAnsi="Times New Roman" w:cs="Times New Roman"/>
          <w:b/>
          <w:bCs/>
          <w:sz w:val="26"/>
          <w:szCs w:val="26"/>
        </w:rPr>
        <w:t xml:space="preserve">III. Thẩm định tính khả thi của phương án sử dụng vốn</w:t>
      </w:r>
      <w:r>
        <w:rPr>
          <w:b/>
          <w:sz w:val="26"/>
          <w:szCs w:val="28"/>
        </w:rPr>
      </w:r>
      <w:r>
        <w:rPr>
          <w:b/>
          <w:sz w:val="26"/>
          <w:szCs w:val="28"/>
        </w:rPr>
      </w:r>
    </w:p>
    <w:p>
      <w:pPr>
        <w:pBdr/>
        <w:tabs>
          <w:tab w:val="left" w:leader="none" w:pos="709"/>
        </w:tabs>
        <w:spacing/>
        <w:ind w:firstLine="567"/>
        <w:jc w:val="both"/>
        <w:rPr>
          <w:b/>
          <w:bCs/>
          <w:sz w:val="26"/>
          <w:szCs w:val="28"/>
        </w:rPr>
      </w:pPr>
      <w:r>
        <w:rPr>
          <w:rFonts w:ascii="Times New Roman" w:hAnsi="Times New Roman" w:cs="Times New Roman"/>
          <w:b/>
          <w:bCs/>
          <w:sz w:val="26"/>
          <w:szCs w:val="26"/>
        </w:rPr>
        <w:t xml:space="preserve">1. Tình hình thực hiện kế hoạch sản xuất kinh doanh năm trước liền kề </w:t>
      </w:r>
      <w:r>
        <w:rPr>
          <w:b/>
          <w:bCs/>
          <w:sz w:val="26"/>
          <w:szCs w:val="28"/>
        </w:rPr>
      </w:r>
      <w:r>
        <w:rPr>
          <w:b/>
          <w:bCs/>
          <w:sz w:val="26"/>
          <w:szCs w:val="28"/>
        </w:rPr>
      </w:r>
    </w:p>
    <w:p>
      <w:pPr>
        <w:pBdr/>
        <w:tabs>
          <w:tab w:val="left" w:leader="none" w:pos="709"/>
        </w:tabs>
        <w:spacing/>
        <w:ind w:firstLine="567"/>
        <w:jc w:val="right"/>
        <w:rPr>
          <w:i/>
          <w:iCs/>
          <w:sz w:val="26"/>
          <w:szCs w:val="28"/>
        </w:rPr>
      </w:pPr>
      <w:r>
        <w:rPr>
          <w:rFonts w:ascii="Times New Roman" w:hAnsi="Times New Roman" w:cs="Times New Roman"/>
          <w:i/>
          <w:iCs/>
          <w:sz w:val="26"/>
          <w:szCs w:val="26"/>
        </w:rPr>
        <w:t xml:space="preserve">Đơn vị:</w:t>
      </w:r>
      <w:r>
        <w:rPr>
          <w:i/>
          <w:iCs/>
          <w:sz w:val="26"/>
          <w:szCs w:val="28"/>
        </w:rPr>
      </w:r>
      <w:r>
        <w:rPr>
          <w:i/>
          <w:iCs/>
          <w:sz w:val="26"/>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STT</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Chỉ tiêu</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Kế hoạch năm…</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Thực hiện năm…</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center"/>
              <w:rPr>
                <w:b/>
                <w:bCs/>
                <w:sz w:val="26"/>
                <w:szCs w:val="28"/>
              </w:rPr>
            </w:pPr>
            <w:r>
              <w:rPr>
                <w:rFonts w:ascii="Times New Roman" w:hAnsi="Times New Roman" w:cs="Times New Roman"/>
                <w:b/>
                <w:bCs/>
                <w:sz w:val="26"/>
                <w:szCs w:val="26"/>
              </w:rPr>
              <w:t xml:space="preserve">So sánh (+/-)</w:t>
            </w:r>
            <w:r>
              <w:rPr>
                <w:b/>
                <w:bCs/>
                <w:sz w:val="26"/>
                <w:szCs w:val="28"/>
              </w:rPr>
            </w:r>
            <w:r>
              <w:rPr>
                <w:b/>
                <w:bCs/>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1</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Doanh thu</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2</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Chi phí</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3</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Lợi nhuận</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bl>
    <w:p>
      <w:pPr>
        <w:pBdr/>
        <w:spacing/>
        <w:ind w:firstLine="567"/>
        <w:jc w:val="both"/>
        <w:rPr>
          <w:b/>
          <w:sz w:val="26"/>
          <w:szCs w:val="28"/>
        </w:rPr>
      </w:pPr>
      <w:r>
        <w:rPr>
          <w:rFonts w:ascii="Times New Roman" w:hAnsi="Times New Roman" w:cs="Times New Roman"/>
          <w:b/>
          <w:bCs/>
          <w:sz w:val="26"/>
          <w:szCs w:val="26"/>
        </w:rPr>
        <w:t xml:space="preserve">2. Hiệu quả của phương án sản xuất kinh doanh năm kế hoạch</w:t>
      </w:r>
      <w:r>
        <w:rPr>
          <w:b/>
          <w:sz w:val="26"/>
          <w:szCs w:val="28"/>
        </w:rPr>
      </w:r>
      <w:r>
        <w:rPr>
          <w:b/>
          <w:sz w:val="26"/>
          <w:szCs w:val="28"/>
        </w:rPr>
      </w:r>
    </w:p>
    <w:p>
      <w:pPr>
        <w:pBdr/>
        <w:tabs>
          <w:tab w:val="left" w:leader="none" w:pos="7368"/>
        </w:tabs>
        <w:spacing/>
        <w:ind w:firstLine="567"/>
        <w:jc w:val="both"/>
        <w:rPr>
          <w:rFonts w:eastAsia="Calibri"/>
          <w:bCs/>
          <w:sz w:val="26"/>
          <w:szCs w:val="26"/>
        </w:rPr>
      </w:pPr>
      <w:r>
        <w:rPr>
          <w:sz w:val="26"/>
          <w:szCs w:val="26"/>
        </w:rPr>
        <w:t xml:space="preserve">- Tổng doanh thu: [Tổng doanh thu dự kiến] đồng</w:t>
      </w:r>
      <w:r>
        <w:rPr>
          <w:rFonts w:eastAsia="Calibri"/>
          <w:bCs/>
          <w:sz w:val="26"/>
          <w:szCs w:val="26"/>
        </w:rPr>
      </w:r>
      <w:r>
        <w:rPr>
          <w:rFonts w:eastAsia="Calibri"/>
          <w:bCs/>
          <w:sz w:val="26"/>
          <w:szCs w:val="26"/>
        </w:rPr>
      </w:r>
    </w:p>
    <w:p>
      <w:pPr>
        <w:pBdr/>
        <w:tabs>
          <w:tab w:val="left" w:leader="none" w:pos="7368"/>
        </w:tabs>
        <w:spacing/>
        <w:ind w:firstLine="567"/>
        <w:jc w:val="both"/>
        <w:rPr>
          <w:rFonts w:eastAsia="Calibri"/>
          <w:bCs/>
          <w:sz w:val="26"/>
          <w:szCs w:val="26"/>
        </w:rPr>
      </w:pPr>
      <w:r>
        <w:rPr>
          <w:sz w:val="26"/>
          <w:szCs w:val="26"/>
        </w:rPr>
        <w:t xml:space="preserve">- Tổng chi phí: [Tổng chi phí dự kiến] đồng</w:t>
      </w:r>
      <w:r>
        <w:rPr>
          <w:rFonts w:eastAsia="Calibri"/>
          <w:bCs/>
          <w:sz w:val="26"/>
          <w:szCs w:val="26"/>
        </w:rPr>
      </w:r>
      <w:r>
        <w:rPr>
          <w:rFonts w:eastAsia="Calibri"/>
          <w:bCs/>
          <w:sz w:val="26"/>
          <w:szCs w:val="26"/>
        </w:rPr>
      </w:r>
    </w:p>
    <w:p>
      <w:pPr>
        <w:pBdr/>
        <w:tabs>
          <w:tab w:val="left" w:leader="none" w:pos="7368"/>
        </w:tabs>
        <w:spacing/>
        <w:ind w:firstLine="567"/>
        <w:jc w:val="both"/>
        <w:rPr>
          <w:rFonts w:eastAsia="Calibri"/>
          <w:bCs/>
          <w:sz w:val="26"/>
          <w:szCs w:val="26"/>
        </w:rPr>
      </w:pPr>
      <w:r>
        <w:rPr>
          <w:sz w:val="26"/>
          <w:szCs w:val="26"/>
        </w:rPr>
        <w:t xml:space="preserve">- Lợi nhuận: [Lợi nhuận dự kiến] đồng</w:t>
      </w:r>
      <w:r>
        <w:rPr>
          <w:rFonts w:eastAsia="Calibri"/>
          <w:bCs/>
          <w:sz w:val="26"/>
          <w:szCs w:val="26"/>
        </w:rPr>
      </w:r>
      <w:r>
        <w:rPr>
          <w:rFonts w:eastAsia="Calibri"/>
          <w:bCs/>
          <w:sz w:val="26"/>
          <w:szCs w:val="26"/>
        </w:rPr>
      </w:r>
    </w:p>
    <w:p>
      <w:pPr>
        <w:pBdr/>
        <w:spacing/>
        <w:ind w:firstLine="567"/>
        <w:jc w:val="both"/>
        <w:rPr>
          <w:b/>
          <w:bCs/>
          <w:sz w:val="26"/>
          <w:szCs w:val="28"/>
        </w:rPr>
      </w:pPr>
      <w:r>
        <w:rPr>
          <w:rFonts w:ascii="Times New Roman" w:hAnsi="Times New Roman" w:cs="Times New Roman"/>
          <w:b/>
          <w:bCs/>
          <w:sz w:val="26"/>
          <w:szCs w:val="26"/>
        </w:rPr>
        <w:t xml:space="preserve">3. Tổng nguồn vốn cần sử dụng năm kế hoạch</w:t>
      </w:r>
      <w:r>
        <w:rPr>
          <w:b/>
          <w:bCs/>
          <w:sz w:val="26"/>
          <w:szCs w:val="28"/>
        </w:rPr>
      </w:r>
      <w:r>
        <w:rPr>
          <w:b/>
          <w:bCs/>
          <w:sz w:val="26"/>
          <w:szCs w:val="28"/>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Xác định tổng chi phí của phương án bao gồm:</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nguyên vật liệu, hàng hóa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nhân công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bán hàng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quản lý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tài chính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khấu hao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khác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Cơ sở xác định chi phí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Căn cứ vào giá bán nguyên vật liệu, hàng hóa của các nhà cung cấp. Các chi phí sản xuất chung, chi phí nhân công, chi phí quản lý, chi phí bán hàng, chi phí khác được xác định tương ứng với doanh thu hàng năm của Doanh nghiệp;</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Chi phí khấu hao được xác định trên cơ sở khấu hao TSCĐ hàng năm của Doanh nghiệp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Chi phí tài chính (Lãi vay) được xác định trên kế hoạch vay tại các Ngân hàng của Doanh nghiệp ; </w:t>
      </w:r>
      <w:r>
        <w:rPr>
          <w:bCs/>
          <w:sz w:val="26"/>
          <w:szCs w:val="28"/>
          <w:highlight w:val="yellow"/>
        </w:rPr>
      </w:r>
      <w:r>
        <w:rPr>
          <w:bCs/>
          <w:sz w:val="26"/>
          <w:szCs w:val="28"/>
          <w:highlight w:val="yellow"/>
        </w:rPr>
      </w:r>
    </w:p>
    <w:p>
      <w:pPr>
        <w:pBdr/>
        <w:spacing/>
        <w:ind w:firstLine="567"/>
        <w:jc w:val="both"/>
        <w:rPr>
          <w:sz w:val="26"/>
          <w:szCs w:val="28"/>
          <w:highlight w:val="yellow"/>
        </w:rPr>
      </w:pPr>
      <w:r>
        <w:rPr>
          <w:rFonts w:ascii="Times New Roman" w:hAnsi="Times New Roman" w:cs="Times New Roman"/>
          <w:sz w:val="26"/>
          <w:szCs w:val="26"/>
          <w:highlight w:val="yellow"/>
        </w:rPr>
        <w:t xml:space="preserve">- Đối với cho vay theo hạn mức tín dụng (có phụ lục hướng dẫn)</w:t>
      </w:r>
      <w:r>
        <w:rPr>
          <w:sz w:val="26"/>
          <w:szCs w:val="28"/>
          <w:highlight w:val="yellow"/>
        </w:rPr>
      </w:r>
      <w:r>
        <w:rPr>
          <w:sz w:val="26"/>
          <w:szCs w:val="28"/>
          <w:highlight w:val="yellow"/>
        </w:rPr>
      </w:r>
    </w:p>
    <w:p>
      <w:pPr>
        <w:pBdr/>
        <w:tabs>
          <w:tab w:val="left" w:leader="none" w:pos="709"/>
        </w:tabs>
        <w:spacing/>
        <w:ind w:firstLine="567"/>
        <w:jc w:val="both"/>
        <w:rPr>
          <w:rFonts w:eastAsia="Arial"/>
          <w:sz w:val="26"/>
          <w:szCs w:val="28"/>
          <w:highlight w:val="yellow"/>
        </w:rPr>
      </w:pPr>
      <w:r>
        <w:rPr>
          <w:sz w:val="26"/>
          <w:szCs w:val="26"/>
          <w:highlight w:val="yellow"/>
        </w:rPr>
        <w:t xml:space="preserve">- Đối với cho vay từng lần</w:t>
      </w:r>
      <w:r>
        <w:rPr>
          <w:rFonts w:eastAsia="Arial"/>
          <w:sz w:val="26"/>
          <w:szCs w:val="28"/>
          <w:highlight w:val="yellow"/>
        </w:rPr>
      </w:r>
      <w:r>
        <w:rPr>
          <w:rFonts w:eastAsia="Arial"/>
          <w:sz w:val="26"/>
          <w:szCs w:val="28"/>
          <w:highlight w:val="yellow"/>
        </w:rPr>
      </w:r>
    </w:p>
    <w:p>
      <w:pPr>
        <w:pBdr/>
        <w:tabs>
          <w:tab w:val="left" w:leader="none" w:pos="709"/>
        </w:tabs>
        <w:spacing/>
        <w:ind w:firstLine="567"/>
        <w:jc w:val="both"/>
        <w:rPr>
          <w:sz w:val="26"/>
          <w:szCs w:val="28"/>
        </w:rPr>
      </w:pPr>
      <w:r>
        <w:rPr>
          <w:rFonts w:ascii="Times New Roman" w:hAnsi="Times New Roman" w:cs="Times New Roman"/>
          <w:sz w:val="26"/>
          <w:szCs w:val="26"/>
          <w:highlight w:val="yellow"/>
        </w:rPr>
        <w:t xml:space="preserve">Tổng nhu cầu vốn = Chi phí của phương án sản xuất kinh doanh – khấu hao – lãi vay</w:t>
      </w:r>
      <w:r>
        <w:rPr>
          <w:sz w:val="26"/>
          <w:szCs w:val="28"/>
        </w:rPr>
      </w:r>
      <w:r>
        <w:rPr>
          <w:sz w:val="26"/>
          <w:szCs w:val="28"/>
        </w:rPr>
      </w:r>
    </w:p>
    <w:p>
      <w:pPr>
        <w:pBdr/>
        <w:spacing/>
        <w:ind w:firstLine="567"/>
        <w:jc w:val="both"/>
        <w:rPr>
          <w:b/>
          <w:bCs/>
          <w:iCs/>
          <w:sz w:val="26"/>
          <w:szCs w:val="28"/>
        </w:rPr>
      </w:pPr>
      <w:r>
        <w:rPr>
          <w:rFonts w:ascii="Times New Roman" w:hAnsi="Times New Roman" w:cs="Times New Roman"/>
          <w:b/>
          <w:bCs/>
          <w:sz w:val="26"/>
          <w:szCs w:val="26"/>
        </w:rPr>
        <w:t xml:space="preserve">a) Nhu cầu vay vốn</w:t>
      </w:r>
      <w:r>
        <w:rPr>
          <w:b/>
          <w:bCs/>
          <w:iCs/>
          <w:sz w:val="26"/>
          <w:szCs w:val="28"/>
        </w:rPr>
      </w:r>
      <w:r>
        <w:rPr>
          <w:b/>
          <w:bCs/>
          <w:iCs/>
          <w:sz w:val="26"/>
          <w:szCs w:val="28"/>
        </w:rPr>
      </w:r>
    </w:p>
    <w:p>
      <w:pPr>
        <w:pBdr/>
        <w:spacing/>
        <w:ind w:firstLine="567"/>
        <w:jc w:val="both"/>
        <w:rPr>
          <w:sz w:val="26"/>
          <w:szCs w:val="26"/>
        </w:rPr>
      </w:pPr>
      <w:r>
        <w:rPr>
          <w:rFonts w:ascii="Times New Roman" w:hAnsi="Times New Roman" w:cs="Times New Roman"/>
          <w:sz w:val="26"/>
          <w:szCs w:val="26"/>
        </w:rPr>
        <w:t xml:space="preserve">- Tổng nhu cầu vốn: </w:t>
      </w:r>
      <w:r>
        <w:rPr>
          <w:rFonts w:ascii="Times New Roman" w:hAnsi="Times New Roman" w:cs="Times New Roman"/>
          <w:b/>
          <w:bCs/>
          <w:sz w:val="26"/>
          <w:szCs w:val="26"/>
        </w:rPr>
        <w:t xml:space="preserve">[Tổng nhu cầu vốn]</w:t>
      </w:r>
      <w:r>
        <w:rPr>
          <w:rFonts w:ascii="Times New Roman" w:hAnsi="Times New Roman" w:cs="Times New Roman"/>
          <w:sz w:val="26"/>
          <w:szCs w:val="26"/>
        </w:rPr>
        <w:t xml:space="preserve">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Vốn đối ứng: </w:t>
      </w:r>
      <w:r>
        <w:rPr>
          <w:rFonts w:ascii="Times New Roman" w:hAnsi="Times New Roman" w:cs="Times New Roman"/>
          <w:b/>
          <w:bCs/>
          <w:sz w:val="26"/>
          <w:szCs w:val="26"/>
        </w:rPr>
        <w:t xml:space="preserve">[Vốn đối ứng]</w:t>
      </w:r>
      <w:r>
        <w:rPr>
          <w:rFonts w:ascii="Times New Roman" w:hAnsi="Times New Roman" w:cs="Times New Roman"/>
          <w:sz w:val="26"/>
          <w:szCs w:val="26"/>
        </w:rPr>
        <w:t xml:space="preserve"> đồng</w:t>
      </w:r>
      <w:r>
        <w:rPr>
          <w:sz w:val="26"/>
          <w:szCs w:val="26"/>
        </w:rPr>
      </w:r>
      <w:r>
        <w:rPr>
          <w:sz w:val="26"/>
          <w:szCs w:val="26"/>
        </w:rPr>
      </w:r>
    </w:p>
    <w:p>
      <w:pPr>
        <w:pBdr/>
        <w:spacing/>
        <w:ind w:firstLine="1134"/>
        <w:jc w:val="both"/>
        <w:rPr>
          <w:rFonts w:eastAsia="Calibri"/>
          <w:sz w:val="26"/>
          <w:szCs w:val="26"/>
        </w:rPr>
      </w:pPr>
      <w:r>
        <w:rPr>
          <w:sz w:val="26"/>
          <w:szCs w:val="26"/>
        </w:rPr>
        <w:t xml:space="preserve">+) Vốn lưu động ròng: [Vốn lưu động ròng] đồng</w:t>
      </w:r>
      <w:r>
        <w:rPr>
          <w:rFonts w:eastAsia="Calibri"/>
          <w:sz w:val="26"/>
          <w:szCs w:val="26"/>
        </w:rPr>
      </w:r>
      <w:r>
        <w:rPr>
          <w:rFonts w:eastAsia="Calibri"/>
          <w:sz w:val="26"/>
          <w:szCs w:val="26"/>
        </w:rPr>
      </w:r>
    </w:p>
    <w:p>
      <w:pPr>
        <w:pBdr/>
        <w:spacing/>
        <w:ind w:firstLine="1134"/>
        <w:jc w:val="both"/>
        <w:rPr>
          <w:rFonts w:eastAsia="Calibri"/>
          <w:sz w:val="26"/>
          <w:szCs w:val="26"/>
        </w:rPr>
      </w:pPr>
      <w:r>
        <w:rPr>
          <w:sz w:val="26"/>
          <w:szCs w:val="26"/>
        </w:rPr>
        <w:t xml:space="preserve">+) Vốn khác: [Vốn khác] đồng</w:t>
      </w:r>
      <w:r>
        <w:rPr>
          <w:rFonts w:eastAsia="Calibri"/>
          <w:sz w:val="26"/>
          <w:szCs w:val="26"/>
        </w:rPr>
      </w:r>
      <w:r>
        <w:rPr>
          <w:rFonts w:eastAsia="Calibri"/>
          <w:sz w:val="26"/>
          <w:szCs w:val="26"/>
        </w:rPr>
      </w:r>
    </w:p>
    <w:p>
      <w:pPr>
        <w:pBdr/>
        <w:spacing/>
        <w:ind w:firstLine="1134"/>
        <w:jc w:val="both"/>
        <w:rPr>
          <w:rFonts w:eastAsia="Calibri"/>
          <w:iCs/>
          <w:sz w:val="26"/>
          <w:szCs w:val="26"/>
        </w:rPr>
      </w:pPr>
      <w:r>
        <w:rPr>
          <w:sz w:val="26"/>
          <w:szCs w:val="26"/>
        </w:rPr>
        <w:t xml:space="preserve">+ Vay các TCTD khác: [Vốn vay TCTD khác] đồng</w:t>
      </w:r>
      <w:r>
        <w:rPr>
          <w:rFonts w:eastAsia="Calibri"/>
          <w:iCs/>
          <w:sz w:val="26"/>
          <w:szCs w:val="26"/>
        </w:rPr>
      </w:r>
      <w:r>
        <w:rPr>
          <w:rFonts w:eastAsia="Calibri"/>
          <w:iCs/>
          <w:sz w:val="26"/>
          <w:szCs w:val="26"/>
        </w:rPr>
      </w:r>
    </w:p>
    <w:p>
      <w:pPr>
        <w:pBdr/>
        <w:spacing/>
        <w:ind w:firstLine="567"/>
        <w:jc w:val="both"/>
        <w:rPr>
          <w:rFonts w:eastAsia="Calibri"/>
          <w:sz w:val="26"/>
          <w:szCs w:val="26"/>
        </w:rPr>
      </w:pPr>
      <w:r>
        <w:rPr>
          <w:sz w:val="26"/>
          <w:szCs w:val="26"/>
        </w:rPr>
        <w:t xml:space="preserve">- Vốn vay Agribank: </w:t>
      </w:r>
      <w:r>
        <w:rPr>
          <w:b/>
          <w:bCs/>
          <w:sz w:val="26"/>
          <w:szCs w:val="26"/>
        </w:rPr>
        <w:t xml:space="preserve">[Số tiền vay]</w:t>
      </w:r>
      <w:r>
        <w:rPr>
          <w:sz w:val="26"/>
          <w:szCs w:val="26"/>
        </w:rPr>
        <w:t xml:space="preserve"> đồng</w:t>
      </w:r>
      <w:r>
        <w:rPr>
          <w:rFonts w:eastAsia="Calibri"/>
          <w:sz w:val="26"/>
          <w:szCs w:val="26"/>
        </w:rPr>
      </w:r>
      <w:r>
        <w:rPr>
          <w:rFonts w:eastAsia="Calibri"/>
          <w:sz w:val="26"/>
          <w:szCs w:val="26"/>
        </w:rPr>
      </w:r>
    </w:p>
    <w:p>
      <w:pPr>
        <w:pBdr/>
        <w:spacing/>
        <w:ind w:firstLine="567"/>
        <w:jc w:val="both"/>
        <w:rPr>
          <w:rFonts w:eastAsia="Calibri"/>
          <w:iCs/>
          <w:sz w:val="26"/>
          <w:szCs w:val="26"/>
        </w:rPr>
      </w:pPr>
      <w:r>
        <w:rPr>
          <w:b/>
          <w:bCs/>
          <w:sz w:val="26"/>
          <w:szCs w:val="26"/>
        </w:rPr>
        <w:t xml:space="preserve">b) Cam kết phát hành dưới hình thức L/C:</w:t>
      </w:r>
      <w:r>
        <w:rPr>
          <w:sz w:val="26"/>
          <w:szCs w:val="26"/>
        </w:rPr>
        <w:t xml:space="preserve"> [Nhu cầu mở L/C] đồng</w:t>
      </w:r>
      <w:r>
        <w:rPr>
          <w:rFonts w:eastAsia="Calibri"/>
          <w:iCs/>
          <w:sz w:val="26"/>
          <w:szCs w:val="26"/>
        </w:rPr>
      </w:r>
      <w:r>
        <w:rPr>
          <w:rFonts w:eastAsia="Calibri"/>
          <w:iCs/>
          <w:sz w:val="26"/>
          <w:szCs w:val="26"/>
        </w:rPr>
      </w:r>
    </w:p>
    <w:p>
      <w:pPr>
        <w:pBdr/>
        <w:spacing/>
        <w:ind w:firstLine="567"/>
        <w:jc w:val="both"/>
        <w:rPr>
          <w:rFonts w:eastAsia="Calibri"/>
          <w:iCs/>
          <w:sz w:val="26"/>
          <w:szCs w:val="26"/>
        </w:rPr>
      </w:pPr>
      <w:r>
        <w:rPr>
          <w:b/>
          <w:bCs/>
          <w:sz w:val="26"/>
          <w:szCs w:val="26"/>
        </w:rPr>
        <w:t xml:space="preserve">c) Nhu cầu phát hành bảo lãnh:</w:t>
      </w:r>
      <w:r>
        <w:rPr>
          <w:sz w:val="26"/>
          <w:szCs w:val="26"/>
        </w:rPr>
        <w:t xml:space="preserve"> [Nhu cầu p/hành bảo lãnh] đồng</w:t>
      </w:r>
      <w:r>
        <w:rPr>
          <w:rFonts w:eastAsia="Calibri"/>
          <w:iCs/>
          <w:sz w:val="26"/>
          <w:szCs w:val="26"/>
        </w:rPr>
      </w:r>
      <w:r>
        <w:rPr>
          <w:rFonts w:eastAsia="Calibri"/>
          <w:iCs/>
          <w:sz w:val="26"/>
          <w:szCs w:val="26"/>
        </w:rPr>
      </w:r>
    </w:p>
    <w:p>
      <w:pPr>
        <w:pBdr/>
        <w:spacing/>
        <w:ind w:firstLine="567"/>
        <w:jc w:val="both"/>
        <w:rPr>
          <w:rFonts w:eastAsia="Calibri"/>
          <w:iCs/>
          <w:sz w:val="26"/>
          <w:szCs w:val="26"/>
        </w:rPr>
      </w:pPr>
      <w:r>
        <w:rPr>
          <w:b/>
          <w:bCs/>
          <w:sz w:val="26"/>
          <w:szCs w:val="26"/>
        </w:rPr>
        <w:t xml:space="preserve">d) Tổng nhu cầu cấp tín dụng:</w:t>
      </w:r>
      <w:r>
        <w:rPr>
          <w:sz w:val="26"/>
          <w:szCs w:val="26"/>
        </w:rPr>
        <w:t xml:space="preserve"> (=a+b+c): [Tổng nhu cầu cấp TD] đồng </w:t>
      </w:r>
      <w:r>
        <w:rPr>
          <w:rFonts w:eastAsia="Calibri"/>
          <w:iCs/>
          <w:sz w:val="26"/>
          <w:szCs w:val="26"/>
        </w:rPr>
      </w:r>
      <w:r>
        <w:rPr>
          <w:rFonts w:eastAsia="Calibri"/>
          <w:iCs/>
          <w:sz w:val="26"/>
          <w:szCs w:val="26"/>
        </w:rPr>
      </w:r>
    </w:p>
    <w:p>
      <w:pPr>
        <w:pBdr/>
        <w:spacing/>
        <w:ind w:firstLine="567"/>
        <w:jc w:val="both"/>
        <w:rPr>
          <w:b/>
          <w:iCs/>
          <w:sz w:val="26"/>
          <w:szCs w:val="28"/>
        </w:rPr>
      </w:pPr>
      <w:r>
        <w:rPr>
          <w:rFonts w:ascii="Times New Roman" w:hAnsi="Times New Roman" w:cs="Times New Roman"/>
          <w:b/>
          <w:bCs/>
          <w:sz w:val="26"/>
          <w:szCs w:val="26"/>
        </w:rPr>
        <w:t xml:space="preserve">4.Tính khả thi của các nguồn vốn</w:t>
      </w:r>
      <w:r>
        <w:rPr>
          <w:b/>
          <w:iCs/>
          <w:sz w:val="26"/>
          <w:szCs w:val="28"/>
        </w:rPr>
      </w:r>
      <w:r>
        <w:rPr>
          <w:b/>
          <w:iCs/>
          <w:sz w:val="26"/>
          <w:szCs w:val="28"/>
        </w:rPr>
      </w:r>
    </w:p>
    <w:p>
      <w:pPr>
        <w:pBdr/>
        <w:spacing/>
        <w:ind w:firstLine="567"/>
        <w:jc w:val="both"/>
        <w:rPr>
          <w:rFonts w:eastAsia="Arial"/>
          <w:sz w:val="26"/>
          <w:szCs w:val="26"/>
        </w:rPr>
      </w:pPr>
      <w:r>
        <w:rPr>
          <w:sz w:val="26"/>
          <w:szCs w:val="26"/>
        </w:rPr>
        <w:t xml:space="preserve">- Vốn đối ứng: Vố</w:t>
      </w:r>
      <w:r>
        <w:rPr>
          <w:sz w:val="26"/>
          <w:szCs w:val="26"/>
        </w:rPr>
        <w:t xml:space="preserve">n đối ứng là vốn của khách hàng tham gia vào phương án sử dụng vốn. Vốn đối ứng tham gia vào phương án, dự án kinh doanh và được xác định dựa trên các nguồn vốn sau: Vốn lưu động ròng có thể tham gia vào phương án sử dụng vốn, vốn vay TCTD khác và vốn khác</w:t>
      </w:r>
      <w:r>
        <w:rPr>
          <w:rFonts w:eastAsia="Arial"/>
          <w:sz w:val="26"/>
          <w:szCs w:val="26"/>
        </w:rPr>
      </w:r>
      <w:r>
        <w:rPr>
          <w:rFonts w:eastAsia="Arial"/>
          <w:sz w:val="26"/>
          <w:szCs w:val="26"/>
        </w:rPr>
      </w:r>
    </w:p>
    <w:p>
      <w:pPr>
        <w:pBdr/>
        <w:tabs>
          <w:tab w:val="left" w:leader="none" w:pos="709"/>
        </w:tabs>
        <w:spacing/>
        <w:ind w:firstLine="567"/>
        <w:jc w:val="both"/>
        <w:rPr>
          <w:rFonts w:eastAsia="Arial"/>
          <w:sz w:val="26"/>
          <w:szCs w:val="26"/>
          <w:highlight w:val="yellow"/>
        </w:rPr>
      </w:pPr>
      <w:r>
        <w:rPr>
          <w:sz w:val="26"/>
          <w:szCs w:val="26"/>
          <w:highlight w:val="yellow"/>
        </w:rPr>
        <w:t xml:space="preserve">Vốn đối ứng có thể bằng tiền, giá trị tài sản tham gia vào phương án, dự án và được xác định dựa trên các nguồn vốn sau: </w:t>
      </w:r>
      <w:r>
        <w:rPr>
          <w:rFonts w:eastAsia="Arial"/>
          <w:sz w:val="26"/>
          <w:szCs w:val="26"/>
          <w:highlight w:val="yellow"/>
        </w:rPr>
      </w:r>
      <w:r>
        <w:rPr>
          <w:rFonts w:eastAsia="Arial"/>
          <w:sz w:val="26"/>
          <w:szCs w:val="26"/>
          <w:highlight w:val="yellow"/>
        </w:rPr>
      </w:r>
    </w:p>
    <w:p>
      <w:pPr>
        <w:pBdr/>
        <w:tabs>
          <w:tab w:val="left" w:leader="none" w:pos="567"/>
        </w:tabs>
        <w:spacing/>
        <w:ind w:firstLine="567"/>
        <w:jc w:val="both"/>
        <w:rPr>
          <w:rFonts w:eastAsia="Arial"/>
          <w:i/>
          <w:sz w:val="26"/>
          <w:szCs w:val="26"/>
          <w:highlight w:val="yellow"/>
        </w:rPr>
      </w:pPr>
      <w:r>
        <w:rPr>
          <w:i/>
          <w:iCs/>
          <w:sz w:val="26"/>
          <w:szCs w:val="26"/>
          <w:highlight w:val="yellow"/>
        </w:rPr>
        <w:t xml:space="preserve">Vốn đối ứng = Vốn lưu động ròng tham gia vào Phương án sử dụng vốn + Vốn khác + vốn vay TCTD khác</w:t>
      </w:r>
      <w:r>
        <w:rPr>
          <w:rFonts w:eastAsia="Arial"/>
          <w:i/>
          <w:sz w:val="26"/>
          <w:szCs w:val="26"/>
          <w:highlight w:val="yellow"/>
        </w:rPr>
      </w:r>
      <w:r>
        <w:rPr>
          <w:rFonts w:eastAsia="Arial"/>
          <w:i/>
          <w:sz w:val="26"/>
          <w:szCs w:val="26"/>
          <w:highlight w:val="yellow"/>
        </w:rPr>
      </w:r>
    </w:p>
    <w:p>
      <w:pPr>
        <w:pBdr/>
        <w:spacing/>
        <w:ind w:firstLine="567"/>
        <w:jc w:val="both"/>
        <w:rPr>
          <w:rFonts w:eastAsia="Calibri"/>
          <w:sz w:val="26"/>
          <w:szCs w:val="26"/>
          <w:highlight w:val="yellow"/>
        </w:rPr>
      </w:pPr>
      <w:r>
        <w:rPr>
          <w:sz w:val="26"/>
          <w:szCs w:val="26"/>
          <w:highlight w:val="yellow"/>
        </w:rPr>
        <w:t xml:space="preserve">(i) Vốn lưu động ròng: Căn cứ Báo cáo tài chính kỳ gần nhất của khách hàng, được xác định dựa trên các nguồn vốn sau:</w:t>
      </w:r>
      <w:r>
        <w:rPr>
          <w:rFonts w:eastAsia="Calibri"/>
          <w:sz w:val="26"/>
          <w:szCs w:val="26"/>
          <w:highlight w:val="yellow"/>
        </w:rPr>
      </w:r>
      <w:r>
        <w:rPr>
          <w:rFonts w:eastAsia="Calibri"/>
          <w:sz w:val="26"/>
          <w:szCs w:val="26"/>
          <w:highlight w:val="yellow"/>
        </w:rPr>
      </w:r>
    </w:p>
    <w:p>
      <w:pPr>
        <w:pBdr/>
        <w:tabs>
          <w:tab w:val="left" w:leader="none" w:pos="709"/>
        </w:tabs>
        <w:spacing/>
        <w:ind w:firstLine="567"/>
        <w:jc w:val="both"/>
        <w:rPr>
          <w:rFonts w:eastAsia="Arial"/>
          <w:sz w:val="26"/>
          <w:szCs w:val="26"/>
          <w:highlight w:val="yellow"/>
        </w:rPr>
      </w:pPr>
      <w:r>
        <w:rPr>
          <w:sz w:val="26"/>
          <w:szCs w:val="26"/>
          <w:highlight w:val="yellow"/>
        </w:rPr>
        <w:t xml:space="preserve">- Vốn lưu động ròng = vốn chủ sở hữu + nợ dài hạn + nợ dài hạn đến hạn trả được hạch toán trên tài khoản nợ ngắn hạn – tài sản dài hạn.</w:t>
      </w:r>
      <w:r>
        <w:rPr>
          <w:rFonts w:eastAsia="Arial"/>
          <w:sz w:val="26"/>
          <w:szCs w:val="26"/>
          <w:highlight w:val="yellow"/>
        </w:rPr>
      </w:r>
      <w:r>
        <w:rPr>
          <w:rFonts w:eastAsia="Arial"/>
          <w:sz w:val="26"/>
          <w:szCs w:val="26"/>
          <w:highlight w:val="yellow"/>
        </w:rPr>
      </w:r>
    </w:p>
    <w:p>
      <w:pPr>
        <w:pBdr/>
        <w:spacing/>
        <w:ind w:firstLine="567"/>
        <w:jc w:val="both"/>
        <w:rPr>
          <w:rFonts w:eastAsia="Calibri"/>
          <w:sz w:val="26"/>
          <w:szCs w:val="26"/>
          <w:highlight w:val="yellow"/>
        </w:rPr>
      </w:pPr>
      <w:r>
        <w:rPr>
          <w:sz w:val="26"/>
          <w:szCs w:val="26"/>
          <w:highlight w:val="yellow"/>
        </w:rPr>
        <w:t xml:space="preserve">hoặc Vốn lưu động ròng = Tài sản ngắn hạn – (Nợ ngắn hạn - nợ dài hạn đến hạn trả được hạch toán trên tài khoản nợ ngắn hạn).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rPr>
      </w:pPr>
      <w:r>
        <w:rPr>
          <w:sz w:val="26"/>
          <w:szCs w:val="26"/>
          <w:highlight w:val="yellow"/>
        </w:rPr>
        <w:t xml:space="preserve">- VLĐ ròng tham gia vào Phương án sử dụng vốn = Vốn lưu động ròng - VLĐ ròng của công ty cam kết/dự kiến tham gia vào các dự án/phương án khác trong kỳ kế hoạch</w:t>
      </w:r>
      <w:r>
        <w:rPr>
          <w:rFonts w:eastAsia="Calibri"/>
          <w:sz w:val="26"/>
          <w:szCs w:val="26"/>
        </w:rPr>
      </w:r>
      <w:r>
        <w:rPr>
          <w:rFonts w:eastAsia="Calibri"/>
          <w:sz w:val="26"/>
          <w:szCs w:val="26"/>
        </w:rPr>
      </w:r>
    </w:p>
    <w:p>
      <w:pPr>
        <w:pBdr/>
        <w:spacing/>
        <w:ind w:firstLine="567"/>
        <w:jc w:val="both"/>
        <w:rPr>
          <w:rFonts w:eastAsia="Calibri"/>
          <w:b/>
          <w:i/>
          <w:sz w:val="26"/>
          <w:szCs w:val="26"/>
          <w:highlight w:val="yellow"/>
        </w:rPr>
      </w:pPr>
      <w:r>
        <w:rPr>
          <w:b/>
          <w:bCs/>
          <w:i/>
          <w:iCs/>
          <w:sz w:val="26"/>
          <w:szCs w:val="26"/>
          <w:highlight w:val="yellow"/>
        </w:rPr>
        <w:t xml:space="preserve">Lưu ý:</w:t>
      </w:r>
      <w:r>
        <w:rPr>
          <w:rFonts w:eastAsia="Calibri"/>
          <w:b/>
          <w:i/>
          <w:sz w:val="26"/>
          <w:szCs w:val="26"/>
          <w:highlight w:val="yellow"/>
        </w:rPr>
      </w:r>
      <w:r>
        <w:rPr>
          <w:rFonts w:eastAsia="Calibri"/>
          <w:b/>
          <w:i/>
          <w:sz w:val="26"/>
          <w:szCs w:val="26"/>
          <w:highlight w:val="yellow"/>
        </w:rPr>
      </w:r>
    </w:p>
    <w:p>
      <w:pPr>
        <w:pBdr/>
        <w:spacing/>
        <w:ind w:firstLine="567"/>
        <w:jc w:val="both"/>
        <w:rPr>
          <w:rFonts w:eastAsia="Calibri"/>
          <w:i/>
          <w:sz w:val="26"/>
          <w:szCs w:val="26"/>
          <w:highlight w:val="yellow"/>
        </w:rPr>
      </w:pPr>
      <w:r>
        <w:rPr>
          <w:i/>
          <w:iCs/>
          <w:sz w:val="26"/>
          <w:szCs w:val="26"/>
          <w:highlight w:val="yellow"/>
        </w:rPr>
        <w:t xml:space="preserve">- Trường hợp nếu vốn lưu động ròng &lt; 0, thì vốn lưu động ròng được tính = 0. Khách hàng phải giải trình được nguyên nhân vốn lưu động ròng âm và có kế hoạch, biện pháp khả thi để khắc phục, đảm bảo vốn tham gia vào phương án sử dụng vốn.</w:t>
      </w:r>
      <w:r>
        <w:rPr>
          <w:rFonts w:eastAsia="Calibri"/>
          <w:i/>
          <w:sz w:val="26"/>
          <w:szCs w:val="26"/>
          <w:highlight w:val="yellow"/>
        </w:rPr>
      </w:r>
      <w:r>
        <w:rPr>
          <w:rFonts w:eastAsia="Calibri"/>
          <w:i/>
          <w:sz w:val="26"/>
          <w:szCs w:val="26"/>
          <w:highlight w:val="yellow"/>
        </w:rPr>
      </w:r>
    </w:p>
    <w:p>
      <w:pPr>
        <w:pBdr/>
        <w:spacing/>
        <w:ind w:firstLine="567"/>
        <w:jc w:val="both"/>
        <w:rPr>
          <w:rFonts w:eastAsia="Calibri"/>
          <w:i/>
          <w:sz w:val="26"/>
          <w:szCs w:val="26"/>
          <w:highlight w:val="yellow"/>
        </w:rPr>
      </w:pPr>
      <w:r>
        <w:rPr>
          <w:i/>
          <w:iCs/>
          <w:sz w:val="26"/>
          <w:szCs w:val="26"/>
          <w:highlight w:val="yellow"/>
        </w:rPr>
        <w:t xml:space="preserve">- Trường hợp khách hàng đang hoạt động sản xuất kinh doanh, nhưng có đầu tư tài sản cố định, thì khi tính vốn lưu động ròng tại phần tài sản ngắn hạn có thể loại trừ các khoản phải thu và hàng tồn kho liên quan đến đầu tư tài sản cố đị</w:t>
      </w:r>
      <w:r>
        <w:rPr>
          <w:i/>
          <w:iCs/>
          <w:sz w:val="26"/>
          <w:szCs w:val="26"/>
          <w:highlight w:val="yellow"/>
        </w:rPr>
        <w:t xml:space="preserve">nh (vì khi tài sản hoàn thành sẽ được hạch toán sang phần tài sản dài hạn), tại phần nợ ngắn hạn có thể loại trừ các khoản phải trả người bán liên quan đến đầu tư TSCĐ (vì khoản này sẽ được trả bằng nguồn vốn vay dài hạn hoặc vốn chủ sở hữu của khách hàng)</w:t>
      </w:r>
      <w:r>
        <w:rPr>
          <w:rFonts w:eastAsia="Calibri"/>
          <w:i/>
          <w:sz w:val="26"/>
          <w:szCs w:val="26"/>
          <w:highlight w:val="yellow"/>
        </w:rPr>
      </w:r>
      <w:r>
        <w:rPr>
          <w:rFonts w:eastAsia="Calibri"/>
          <w:i/>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khác, gồm: vốn chiếm dụng, vốn chủ sở hữu cam kết bổ sung,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chiếm dụng bao gồm: Phải trả người bán + Người mua trả tiền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Vốn chiếm dụng kỳ kế hoạch có thể căn cứ trên cơ sở vố</w:t>
      </w:r>
      <w:r>
        <w:rPr>
          <w:rFonts w:ascii="Times New Roman" w:hAnsi="Times New Roman" w:cs="Times New Roman"/>
          <w:sz w:val="26"/>
          <w:szCs w:val="26"/>
          <w:highlight w:val="yellow"/>
        </w:rPr>
        <w:t xml:space="preserve">n chiếm dụng bình quân của các năm trước liền kề (căn cứ số liệu trên báo cáo tài chính của doanh nghiệp tối thiểu 02 năm) hoặc số phát sinh trong năm/kỳ kế hoạch dựa trên cơ sở các hợp đồng kinh tế, hợp đồng thi công xây lắp,… thực hiện trong kỳ kế hoạch.</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chủ sở hữu cam kết bổ sung trong kỳ kế hoạch: căn cứ vào Nghị quyết Đại hội đồng cổ đông/Hội đồng thành viên về kế hoạch tăng vốn trong kỳ kế hoạch để xác định.</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vay các TCTD khác được xác định căn cứ trên kế hoạch, nhu cầu vay vốn của khách hàng tại từng TCTD (nêu rõ tên các TCTD, số tiền cụ thể tại từng TCTD).</w:t>
      </w:r>
      <w:r>
        <w:rPr>
          <w:sz w:val="26"/>
          <w:szCs w:val="26"/>
          <w:highlight w:val="yellow"/>
        </w:rPr>
      </w:r>
      <w:r>
        <w:rPr>
          <w:sz w:val="26"/>
          <w:szCs w:val="26"/>
          <w:highlight w:val="yellow"/>
        </w:rPr>
      </w:r>
    </w:p>
    <w:p>
      <w:pPr>
        <w:pBdr/>
        <w:spacing/>
        <w:ind w:firstLine="567"/>
        <w:jc w:val="both"/>
        <w:rPr>
          <w:rFonts w:eastAsia="Calibri"/>
          <w:iCs/>
          <w:sz w:val="26"/>
          <w:szCs w:val="26"/>
        </w:rPr>
      </w:pPr>
      <w:r>
        <w:rPr>
          <w:sz w:val="26"/>
          <w:szCs w:val="26"/>
          <w:highlight w:val="yellow"/>
        </w:rPr>
        <w:t xml:space="preserve">- Agribank nơi cho vay đánh giá tính khả thi phần vốn vay các TCTD khác kỳ kế hoạch trên cơ sở thông tin dư nợ bình quân năm trước liền kề (theo CIC, báo cáo tài chính) và các tài liệu chứng minh (nếu có)</w:t>
      </w:r>
      <w:r>
        <w:rPr>
          <w:rFonts w:eastAsia="Calibri"/>
          <w:iCs/>
          <w:sz w:val="26"/>
          <w:szCs w:val="26"/>
        </w:rPr>
      </w:r>
      <w:r>
        <w:rPr>
          <w:rFonts w:eastAsia="Calibri"/>
          <w:iCs/>
          <w:sz w:val="26"/>
          <w:szCs w:val="26"/>
        </w:rPr>
      </w:r>
    </w:p>
    <w:p>
      <w:pPr>
        <w:pBdr/>
        <w:spacing/>
        <w:ind w:firstLine="567"/>
        <w:jc w:val="both"/>
        <w:rPr>
          <w:rFonts w:eastAsia="Calibri"/>
          <w:sz w:val="26"/>
          <w:szCs w:val="26"/>
        </w:rPr>
      </w:pPr>
      <w:r>
        <w:rPr>
          <w:sz w:val="26"/>
          <w:szCs w:val="26"/>
        </w:rPr>
        <w:t xml:space="preserve">- Nguồn trả nợ: Từ doanh thu và lợi nhuận của phương án</w:t>
      </w:r>
      <w:r>
        <w:rPr>
          <w:rFonts w:eastAsia="Calibri"/>
          <w:sz w:val="26"/>
          <w:szCs w:val="26"/>
        </w:rPr>
      </w:r>
      <w:r>
        <w:rPr>
          <w:rFonts w:eastAsia="Calibri"/>
          <w:sz w:val="26"/>
          <w:szCs w:val="26"/>
        </w:rPr>
      </w:r>
    </w:p>
    <w:p>
      <w:pPr>
        <w:pBdr/>
        <w:spacing/>
        <w:ind w:firstLine="567"/>
        <w:jc w:val="both"/>
        <w:rPr>
          <w:b/>
          <w:bCs/>
          <w:sz w:val="26"/>
          <w:szCs w:val="28"/>
        </w:rPr>
      </w:pPr>
      <w:r>
        <w:rPr>
          <w:rFonts w:ascii="Times New Roman" w:hAnsi="Times New Roman" w:cs="Times New Roman"/>
          <w:b/>
          <w:bCs/>
          <w:sz w:val="26"/>
          <w:szCs w:val="26"/>
        </w:rPr>
        <w:t xml:space="preserve">5. Tính khả thi của phương án</w:t>
      </w:r>
      <w:r>
        <w:rPr>
          <w:b/>
          <w:bCs/>
          <w:sz w:val="26"/>
          <w:szCs w:val="28"/>
        </w:rPr>
      </w:r>
      <w:r>
        <w:rPr>
          <w:b/>
          <w:bCs/>
          <w:sz w:val="26"/>
          <w:szCs w:val="28"/>
        </w:rPr>
      </w:r>
    </w:p>
    <w:p>
      <w:pPr>
        <w:pBdr/>
        <w:spacing/>
        <w:ind w:firstLine="567"/>
        <w:jc w:val="both"/>
        <w:rPr>
          <w:sz w:val="26"/>
          <w:szCs w:val="26"/>
        </w:rPr>
      </w:pPr>
      <w:r>
        <w:rPr>
          <w:rFonts w:ascii="Times New Roman" w:hAnsi="Times New Roman" w:cs="Times New Roman"/>
          <w:sz w:val="26"/>
          <w:szCs w:val="26"/>
        </w:rPr>
        <w:t xml:space="preserve">- Thị trường tiêu thụ sản phẩm:</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 Xem xét nhu cầu của thị trường và khả năng đáp ứng hiện tại và dự kiến nhu cầu trong tương lai về sản phẩm, dịch vụ đầu ra của phương án.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Phương thức và mạng lưới phân phối</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đã có hợp đồng đầu ra: Xem xét hợp đồng, đặc biệt là các điều khoản về hàng hoá, chất lượng, hiệu lực hợp đồng, thời hạn giao hàng, điều khoản thanh toán. </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chưa có hợp đồng đầu ra: Phân tích tình hình tiêu thụ mặt hàng đó trên thị trường, tình hình tồn kho để đánh giá khả năng tiêu thụ (lưu ý trường hợp khách hàng mới kinh doanh mặt hàng đó, chưa có kinh nghiệm trên thị trường); </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Đối với phương án sản xuất hoặc thi công xây dựng: Đánh giá khả năng tổ chức sản xuất và tiêu thụ, hoặc thi công của khách hàng, bao gồm xem xét công suất, năng lực sản xuất, thi công c</w:t>
      </w:r>
      <w:r>
        <w:rPr>
          <w:sz w:val="26"/>
          <w:szCs w:val="26"/>
          <w:highlight w:val="yellow"/>
        </w:rPr>
        <w:t xml:space="preserve">ủa doanh nghiệp. Kế hoạch và tiến độ sản xuất, thi công. Các chính sách, phương thức bán hàng tiêu thụ sản phẩm. Sản lượng, doanh số bán hàng của loại sản phẩm đó hàng tháng cũng như trong thời kỳ trước đó và dự kiến tình hình tiêu thụ trong thời gian tới.</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Mạng lưới phân phối: Phân tích mạng lưới phân phối, tiêu thụ sản phẩm của DN</w:t>
      </w:r>
      <w:r>
        <w:rPr>
          <w:rFonts w:eastAsia="Calibri"/>
          <w:sz w:val="26"/>
          <w:szCs w:val="26"/>
          <w:highlight w:val="yellow"/>
        </w:rPr>
      </w:r>
      <w:r>
        <w:rPr>
          <w:rFonts w:eastAsia="Calibri"/>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 Cần lưu ý trường hợp sản phẩm xuất khẩu, các sản phẩm có tính đặc thù</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Thị trường cung cấp nguyên, nhiên, vật liệu và các yếu tố đầu vào khác:</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 Xem xét khả năng cung ứng, sự đa dạng của các nguồn cung trên thị trường và uy tín của các nhà cung cấp.</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Biến động giá cả và các yếu tố ảnh hưởng đến giá cả các nguyên liệu đầu vào trên thị trường.</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Cần lưu ý trường hợp phải nhập khẩu, các nguyên nhiên liệu có tính đặc thù, đòi hỏi phải có vùng nguyên liệu tập trung như các DN chế biến gỗ, nông sản…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doanh nghiệp sản xuất để bán: doanh nghiệp cần bao nhiêu nguyên nhiên vật liệu đầu vào để phục vụ sản xuất? Có bao nhiêu nhà cung cấp nguyên liệu đầu vào? Họ là những khách hàng có</w:t>
      </w:r>
      <w:r>
        <w:rPr>
          <w:sz w:val="26"/>
          <w:szCs w:val="26"/>
          <w:highlight w:val="yellow"/>
        </w:rPr>
        <w:t xml:space="preserve"> quan hệ từ trước hay mới thiết lập, khả năng cung cứng và mức độ tín nhiệm như thế nào? Chính sách nhập khẩu đối với nguyên liệu, hàng hoá đầu vào (nếu có)? Biến động về giá mua, nhập khẩu nguyên nhiên liệu đầu vào, tỷ giá trong trường hợp phải nhập khẩu.</w:t>
      </w:r>
      <w:r>
        <w:rPr>
          <w:rFonts w:eastAsia="Calibri"/>
          <w:sz w:val="26"/>
          <w:szCs w:val="26"/>
          <w:highlight w:val="yellow"/>
        </w:rPr>
      </w:r>
      <w:r>
        <w:rPr>
          <w:rFonts w:eastAsia="Calibri"/>
          <w:sz w:val="26"/>
          <w:szCs w:val="26"/>
          <w:highlight w:val="yellow"/>
        </w:rPr>
      </w:r>
    </w:p>
    <w:p>
      <w:pPr>
        <w:pBdr/>
        <w:spacing/>
        <w:ind w:firstLine="567"/>
        <w:jc w:val="both"/>
        <w:rPr>
          <w:b/>
          <w:bCs/>
          <w:i/>
          <w:sz w:val="26"/>
          <w:szCs w:val="26"/>
        </w:rPr>
      </w:pPr>
      <w:r>
        <w:rPr>
          <w:rFonts w:ascii="Times New Roman" w:hAnsi="Times New Roman" w:cs="Times New Roman"/>
          <w:b/>
          <w:bCs/>
          <w:i/>
          <w:iCs/>
          <w:sz w:val="26"/>
          <w:szCs w:val="26"/>
          <w:highlight w:val="yellow"/>
        </w:rPr>
        <w:t xml:space="preserve">- Trường hợp doanh nghiệp kinh doanh thương mại: Có bao nhiêu nhà cung cấp sản phẩm, chất lượng và giá cả thế nào? Mức độ tín nhiệm của các nhà cung cấp? Cơ chế chính sách đối với sản phẩm? Biến động về giá cả sản phẩm?</w:t>
      </w:r>
      <w:r>
        <w:rPr>
          <w:b/>
          <w:bCs/>
          <w:i/>
          <w:sz w:val="26"/>
          <w:szCs w:val="26"/>
        </w:rPr>
      </w:r>
      <w:r>
        <w:rPr>
          <w:b/>
          <w:bCs/>
          <w:i/>
          <w:sz w:val="26"/>
          <w:szCs w:val="26"/>
        </w:rPr>
      </w:r>
    </w:p>
    <w:p>
      <w:pPr>
        <w:pBdr/>
        <w:spacing/>
        <w:ind w:firstLine="567"/>
        <w:jc w:val="both"/>
        <w:rPr>
          <w:sz w:val="26"/>
          <w:szCs w:val="26"/>
        </w:rPr>
      </w:pPr>
      <w:r>
        <w:rPr>
          <w:rFonts w:ascii="Times New Roman" w:hAnsi="Times New Roman" w:cs="Times New Roman"/>
          <w:sz w:val="26"/>
          <w:szCs w:val="26"/>
        </w:rPr>
        <w:t xml:space="preserve">- Năng lực về máy móc thiết bị, công nghệ:</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Đánh giá về năng lực máy móc thiết bị, dây chuyền công nghệ còn mới hay đã lạc hậu ? có phù hợp với tình hình sản xuất kinh doanh của Doanh nghiệp</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rPr>
      </w:pPr>
      <w:r>
        <w:rPr>
          <w:sz w:val="26"/>
          <w:szCs w:val="26"/>
          <w:highlight w:val="yellow"/>
        </w:rPr>
        <w:t xml:space="preserve">Đánh giá về tình hình lao động tại Công ty có phù hợp với quy mô hoạt động SXKD của Công ty ;</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 Năng lực quản trị, quản lý, điều hành kinh doanh: Ban lãnh đạo công ty có trình độ và kinh nghiệm quản lý, điều hành, đáp ứng đủ yêu cầu năng lực</w:t>
      </w:r>
      <w:r>
        <w:rPr>
          <w:sz w:val="26"/>
          <w:szCs w:val="26"/>
        </w:rPr>
      </w:r>
      <w:r>
        <w:rPr>
          <w:sz w:val="26"/>
          <w:szCs w:val="26"/>
        </w:rPr>
      </w:r>
    </w:p>
    <w:p>
      <w:pPr>
        <w:pBdr/>
        <w:spacing/>
        <w:ind w:firstLine="567"/>
        <w:jc w:val="both"/>
        <w:rPr>
          <w:b/>
          <w:bCs/>
          <w:sz w:val="26"/>
          <w:szCs w:val="26"/>
        </w:rPr>
      </w:pPr>
      <w:r>
        <w:rPr>
          <w:rFonts w:ascii="Times New Roman" w:hAnsi="Times New Roman" w:cs="Times New Roman"/>
          <w:b/>
          <w:bCs/>
          <w:sz w:val="26"/>
          <w:szCs w:val="26"/>
        </w:rPr>
        <w:t xml:space="preserve">6. Nhận xét, đánh giá chung</w:t>
      </w:r>
      <w:r>
        <w:rPr>
          <w:b/>
          <w:bCs/>
          <w:sz w:val="26"/>
          <w:szCs w:val="26"/>
        </w:rPr>
      </w:r>
      <w:r>
        <w:rPr>
          <w:b/>
          <w:bCs/>
          <w:sz w:val="26"/>
          <w:szCs w:val="26"/>
        </w:rPr>
      </w:r>
    </w:p>
    <w:p>
      <w:pPr>
        <w:pBdr/>
        <w:spacing/>
        <w:ind w:firstLine="567"/>
        <w:jc w:val="both"/>
        <w:rPr>
          <w:sz w:val="26"/>
          <w:szCs w:val="26"/>
        </w:rPr>
      </w:pPr>
      <w:r>
        <w:rPr>
          <w:rFonts w:ascii="Times New Roman" w:hAnsi="Times New Roman" w:cs="Times New Roman"/>
          <w:sz w:val="26"/>
          <w:szCs w:val="26"/>
        </w:rPr>
        <w:t xml:space="preserve">- Mục đích vay vốn phù hợp với ngành nghề đăng ký kinh doanh của Doanh nghiệp, hồ sơ vay vốn đầy đủ, hợp lệ.</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Phương án sản xuất kinh doanh có hiệu quả, có tính khả thi.</w:t>
      </w:r>
      <w:r>
        <w:rPr>
          <w:sz w:val="26"/>
          <w:szCs w:val="26"/>
        </w:rPr>
      </w:r>
      <w:r>
        <w:rPr>
          <w:sz w:val="26"/>
          <w:szCs w:val="26"/>
        </w:rPr>
      </w:r>
    </w:p>
    <w:p>
      <w:pPr>
        <w:pStyle w:val="998"/>
        <w:pBdr/>
        <w:tabs>
          <w:tab w:val="left" w:leader="none" w:pos="567"/>
        </w:tabs>
        <w:spacing w:line="240" w:lineRule="auto"/>
        <w:ind w:firstLine="567" w:left="0"/>
        <w:jc w:val="both"/>
        <w:rPr>
          <w:b/>
          <w:sz w:val="26"/>
        </w:rPr>
      </w:pPr>
      <w:r>
        <w:rPr>
          <w:b/>
          <w:bCs/>
          <w:sz w:val="26"/>
          <w:szCs w:val="26"/>
        </w:rPr>
        <w:t xml:space="preserve">IV. Biện pháp bảo đảm tiền vay  </w:t>
      </w:r>
      <w:r>
        <w:rPr>
          <w:b/>
          <w:sz w:val="26"/>
        </w:rPr>
      </w:r>
      <w:r>
        <w:rPr>
          <w:b/>
          <w:sz w:val="26"/>
        </w:rPr>
      </w:r>
    </w:p>
    <w:p>
      <w:pPr>
        <w:pBdr/>
        <w:spacing/>
        <w:ind w:firstLine="567"/>
        <w:jc w:val="both"/>
        <w:rPr>
          <w:rFonts w:eastAsia="Calibri"/>
          <w:b/>
          <w:bCs/>
          <w:sz w:val="26"/>
          <w:szCs w:val="26"/>
          <w:highlight w:val="yellow"/>
        </w:rPr>
      </w:pPr>
      <w:r>
        <w:rPr>
          <w:b/>
          <w:bCs/>
          <w:sz w:val="26"/>
          <w:szCs w:val="26"/>
          <w:highlight w:val="yellow"/>
        </w:rPr>
        <w:t xml:space="preserve">* Trường hợp cho vay một phần không có tài sản bảo đảm thì trình bày như sau :</w:t>
      </w:r>
      <w:r>
        <w:rPr>
          <w:rFonts w:eastAsia="Calibri"/>
          <w:b/>
          <w:bCs/>
          <w:sz w:val="26"/>
          <w:szCs w:val="26"/>
          <w:highlight w:val="yellow"/>
        </w:rPr>
      </w:r>
      <w:r>
        <w:rPr>
          <w:rFonts w:eastAsia="Calibri"/>
          <w:b/>
          <w:bCs/>
          <w:sz w:val="26"/>
          <w:szCs w:val="26"/>
          <w:highlight w:val="yellow"/>
        </w:rPr>
      </w:r>
    </w:p>
    <w:p>
      <w:pPr>
        <w:pBdr/>
        <w:spacing/>
        <w:ind w:firstLine="567"/>
        <w:jc w:val="both"/>
        <w:rPr>
          <w:sz w:val="26"/>
          <w:szCs w:val="26"/>
        </w:rPr>
      </w:pPr>
      <w:r>
        <w:rPr>
          <w:rFonts w:ascii="Times New Roman" w:hAnsi="Times New Roman" w:cs="Times New Roman"/>
          <w:sz w:val="26"/>
          <w:szCs w:val="26"/>
        </w:rPr>
        <w:t xml:space="preserve">- Căn cứ Khoản 2 điều 6 của Quyết định số 204/QĐ-HĐTV-TD ngày 24/4/2020 của Hội đồng thành viên Agribank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Agribank xem xét phê duyệt, quyết định cấp tín dụng không áp dụng biện pháp bảo đảm</w:t>
      </w:r>
      <w:r>
        <w:rPr>
          <w:rFonts w:ascii="Times New Roman" w:hAnsi="Times New Roman" w:cs="Times New Roman"/>
          <w:sz w:val="26"/>
          <w:szCs w:val="26"/>
        </w:rPr>
        <w:t xml:space="preserve">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Được xếp hạng từ A trở lên theo quy định xếp hạng tín dụng nội bộ của Agribank.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545/QĐ-HĐTV-TD ngày 18/8/2021 của Hội đồng thành viên Agribank về sửa đổi, bổ sung một số nội dung Quyết định số 204/QĐ-HĐTV-TD ngày 24/4/2020 của Hội đồng thành viên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số 1826/QĐ-NHNo-TD ngày 31/8/2021 của Tổng Giám đốc ban hành Quy định một số nội dung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Thông báo số 3636/NHNo-TD ngày 14/4/2023 của Tổng Giám đốc về Thẩm quyền cấp tín dụng của Giám đốc chi nhánh loại I năm 2023.</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Đến thời điểm thẩm định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Theo kết quả chấm điểm ngày [Kỳ chấm điểm] khách hàng xếp hạng [Xếp hạng KH theo Agribank], phân loại nợ: [Nhóm nợ]</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Căn cứ các điều kiện tại khoản 2 điều 6 của quy định số 204/QĐ-HĐTV-TD ngày 24/4/2020, dựa trên cơ sở thực tế người quan hệ khách hàng nhận thấy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 đáp ứng đủ các điều kiện về cho vay một phần không có tài sản đảm bảo, cụ thể: Mức cho vay có bảo đảm bằng tài sản: [Tỷ lệ % bảo đảm]%</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highlight w:val="yellow"/>
        </w:rPr>
        <w:t xml:space="preserve">* Trường hợp có bảo đảm tài sản thì trình bày như sau:</w:t>
      </w:r>
      <w:r>
        <w:rPr>
          <w:sz w:val="26"/>
          <w:szCs w:val="26"/>
        </w:rPr>
      </w:r>
      <w:r>
        <w:rPr>
          <w:sz w:val="26"/>
          <w:szCs w:val="26"/>
        </w:rPr>
      </w:r>
    </w:p>
    <w:p>
      <w:pPr>
        <w:pBdr/>
        <w:shd w:val="clear" w:color="auto" w:fill="ffffff"/>
        <w:spacing/>
        <w:ind w:firstLine="567"/>
        <w:jc w:val="both"/>
        <w:rPr>
          <w:rFonts w:eastAsia="Calibri"/>
          <w:sz w:val="26"/>
          <w:szCs w:val="28"/>
        </w:rPr>
      </w:pPr>
      <w:r>
        <w:rPr>
          <w:sz w:val="26"/>
          <w:szCs w:val="26"/>
        </w:rPr>
        <w:t xml:space="preserve">- Giá trị định giá tài sản bảo đảm: </w:t>
      </w:r>
      <w:r>
        <w:rPr>
          <w:b/>
          <w:bCs/>
          <w:sz w:val="26"/>
          <w:szCs w:val="26"/>
        </w:rPr>
        <w:t xml:space="preserve">[Tổng giá trị TSBĐ]</w:t>
      </w:r>
      <w:r>
        <w:rPr>
          <w:sz w:val="26"/>
          <w:szCs w:val="26"/>
        </w:rPr>
        <w:t xml:space="preserve"> đồng</w:t>
      </w:r>
      <w:r>
        <w:rPr>
          <w:rFonts w:eastAsia="Calibri"/>
          <w:sz w:val="26"/>
          <w:szCs w:val="28"/>
        </w:rPr>
      </w:r>
      <w:r>
        <w:rPr>
          <w:rFonts w:eastAsia="Calibri"/>
          <w:sz w:val="26"/>
          <w:szCs w:val="28"/>
        </w:rPr>
      </w:r>
    </w:p>
    <w:p>
      <w:pPr>
        <w:pBdr/>
        <w:shd w:val="clear" w:color="auto" w:fill="ffffff"/>
        <w:tabs>
          <w:tab w:val="left" w:leader="dot" w:pos="9214"/>
        </w:tabs>
        <w:spacing/>
        <w:ind w:firstLine="567"/>
        <w:jc w:val="both"/>
        <w:rPr>
          <w:rFonts w:eastAsia="Calibri"/>
          <w:sz w:val="26"/>
          <w:szCs w:val="28"/>
        </w:rPr>
      </w:pPr>
      <w:r>
        <w:rPr>
          <w:sz w:val="26"/>
          <w:szCs w:val="26"/>
        </w:rPr>
        <w:t xml:space="preserve">(Bằng chữ: [TGTTSBĐ bằng chữ])</w:t>
      </w:r>
      <w:r>
        <w:rPr>
          <w:rFonts w:eastAsia="Calibri"/>
          <w:sz w:val="26"/>
          <w:szCs w:val="28"/>
        </w:rPr>
      </w:r>
      <w:r>
        <w:rPr>
          <w:rFonts w:eastAsia="Calibri"/>
          <w:sz w:val="26"/>
          <w:szCs w:val="28"/>
        </w:rPr>
      </w:r>
    </w:p>
    <w:p>
      <w:pPr>
        <w:pBdr/>
        <w:shd w:val="clear" w:color="auto" w:fill="ffffff"/>
        <w:spacing/>
        <w:ind w:firstLine="567"/>
        <w:jc w:val="both"/>
        <w:rPr>
          <w:rFonts w:eastAsia="Calibri"/>
          <w:bCs/>
          <w:sz w:val="26"/>
          <w:szCs w:val="28"/>
        </w:rPr>
      </w:pPr>
      <w:r>
        <w:rPr>
          <w:sz w:val="26"/>
          <w:szCs w:val="26"/>
        </w:rPr>
        <w:t xml:space="preserve">- Nghĩa vụ được bảo đảm, phạm vi bảo đảm: </w:t>
      </w:r>
      <w:r>
        <w:rPr>
          <w:b/>
          <w:bCs/>
          <w:sz w:val="26"/>
          <w:szCs w:val="26"/>
        </w:rPr>
        <w:t xml:space="preserve">[Tổng nghĩa vụ bảo đảm]</w:t>
      </w:r>
      <w:r>
        <w:rPr>
          <w:sz w:val="26"/>
          <w:szCs w:val="26"/>
        </w:rPr>
        <w:t xml:space="preserve"> đồng</w:t>
      </w:r>
      <w:r>
        <w:rPr>
          <w:rFonts w:eastAsia="Calibri"/>
          <w:bCs/>
          <w:sz w:val="26"/>
          <w:szCs w:val="28"/>
        </w:rPr>
      </w:r>
      <w:r>
        <w:rPr>
          <w:rFonts w:eastAsia="Calibri"/>
          <w:bCs/>
          <w:sz w:val="26"/>
          <w:szCs w:val="28"/>
        </w:rPr>
      </w:r>
    </w:p>
    <w:p>
      <w:pPr>
        <w:pBdr/>
        <w:shd w:val="clear" w:color="auto" w:fill="ffffff"/>
        <w:spacing/>
        <w:ind w:firstLine="567"/>
        <w:jc w:val="both"/>
        <w:rPr>
          <w:rFonts w:eastAsia="Calibri"/>
          <w:bCs/>
          <w:sz w:val="26"/>
          <w:szCs w:val="28"/>
        </w:rPr>
      </w:pPr>
      <w:r>
        <w:rPr>
          <w:sz w:val="26"/>
          <w:szCs w:val="26"/>
        </w:rPr>
        <w:t xml:space="preserve">- Mức cho vay có bảo đảm bằng tài sản: [Tỷ lệ % bảo đảm]%</w:t>
      </w:r>
      <w:r>
        <w:rPr>
          <w:rFonts w:eastAsia="Calibri"/>
          <w:bCs/>
          <w:sz w:val="26"/>
          <w:szCs w:val="28"/>
        </w:rPr>
      </w:r>
      <w:r>
        <w:rPr>
          <w:rFonts w:eastAsia="Calibri"/>
          <w:bCs/>
          <w:sz w:val="26"/>
          <w:szCs w:val="28"/>
        </w:rPr>
      </w:r>
    </w:p>
    <w:p>
      <w:pPr>
        <w:pBdr/>
        <w:spacing/>
        <w:ind w:firstLine="567"/>
        <w:jc w:val="both"/>
        <w:rPr>
          <w:rFonts w:eastAsia="Calibri"/>
          <w:bCs/>
          <w:sz w:val="26"/>
          <w:szCs w:val="28"/>
        </w:rPr>
      </w:pPr>
      <w:r>
        <w:rPr>
          <w:sz w:val="26"/>
          <w:szCs w:val="26"/>
        </w:rPr>
        <w:t xml:space="preserve">* Nhận xét về TSBĐ: tài sản bảo đảm không thuộc Danh mục tài sản không được nhận làm tài sản bảo đảm; đủ điều kiện nhận làm TSBĐ theo quy định.</w:t>
      </w:r>
      <w:r>
        <w:rPr>
          <w:rFonts w:eastAsia="Calibri"/>
          <w:bCs/>
          <w:sz w:val="26"/>
          <w:szCs w:val="28"/>
        </w:rPr>
      </w:r>
      <w:r>
        <w:rPr>
          <w:rFonts w:eastAsia="Calibri"/>
          <w:bCs/>
          <w:sz w:val="26"/>
          <w:szCs w:val="28"/>
        </w:rPr>
      </w:r>
    </w:p>
    <w:p>
      <w:pPr>
        <w:pBdr/>
        <w:spacing/>
        <w:ind w:firstLine="567"/>
        <w:jc w:val="both"/>
        <w:rPr>
          <w:rFonts w:eastAsia="Calibri"/>
          <w:b/>
          <w:sz w:val="26"/>
        </w:rPr>
      </w:pPr>
      <w:r>
        <w:rPr>
          <w:b/>
          <w:bCs/>
          <w:sz w:val="26"/>
          <w:szCs w:val="26"/>
        </w:rPr>
        <w:t xml:space="preserve">V. Rủi ro và các biện pháp giảm thiểu rủi ro</w:t>
      </w:r>
      <w:r>
        <w:rPr>
          <w:rFonts w:eastAsia="Calibri"/>
          <w:b/>
          <w:sz w:val="26"/>
        </w:rPr>
      </w:r>
      <w:r>
        <w:rPr>
          <w:rFonts w:eastAsia="Calibri"/>
          <w:b/>
          <w:sz w:val="26"/>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Một </w:t>
      </w:r>
      <w:r>
        <w:rPr>
          <w:sz w:val="26"/>
          <w:szCs w:val="26"/>
          <w:highlight w:val="yellow"/>
        </w:rPr>
        <w:t xml:space="preserve">dự án đầu tư, từ khâu chuẩn bị đầu tư đến thực hiện đầu tư và đi vào hoạt động có thể xẩy ra nhiều loại rủi ro khác nhau (do nguyên nhân chủ quan hoặc khách quan), việc tính toán khả năng tài chính của dự án như đã giới thiệu ở trên chỉ đúng trong trường h</w:t>
      </w:r>
      <w:r>
        <w:rPr>
          <w:sz w:val="26"/>
          <w:szCs w:val="26"/>
          <w:highlight w:val="yellow"/>
        </w:rPr>
        <w:t xml:space="preserve">ợp dự án không bị ảnh hưởng bởi rủi ro có thể xảy ra. Vì vậy, việc đánh giá, phân tích, dự đoán các rủi ro có thể xảy ra là rất quan trọng nhằm tăng tính khả thi của phương án tính toán dự kiến cũng như chủ động có biện pháp phòng ngừa, giảm thiểu rủi ro. </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Có rất nhiều loại rủi ro, các rủi ro có mối quan hệ và có nhiều nguyên nhân. Mỗi loại hình dự án, trong một điều kiện thường phát sinh n</w:t>
      </w:r>
      <w:r>
        <w:rPr>
          <w:sz w:val="26"/>
          <w:szCs w:val="26"/>
          <w:highlight w:val="yellow"/>
        </w:rPr>
        <w:t xml:space="preserve">hững loại rủi ro khác nhau, nên phải nhận diện được các loại rủi ro chủ yếu, những loại rủi ro có tần xuất phát sinh cao đối với dự án với điều kiện nhất định. Đặc biệt phải đưa ra mức độ rủi ro và biện pháp giảm thiểu rủi ro đến mức có thể chấp nhận được.</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Dưới đây là phân loại một số rủi ro chủ yếu thường xảy ra đối với dự án cụ thể và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1. Rủi ro chính sách</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chính sách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này được xem là gồm (i) những bất ổn về chính sách của nơi/địa điểm xây dựng dự án, bao gồm: các sắc th</w:t>
      </w:r>
      <w:r>
        <w:rPr>
          <w:sz w:val="26"/>
          <w:szCs w:val="26"/>
        </w:rPr>
        <w:t xml:space="preserve">uế mới, hạn chế về chuyển tiền, quốc hữu hoá, tư hữu hóa hay các luật, nghị quyết, nghị định và các chế tài khác có liên quan tới dòng tiền của dự án; (ii) Hiệu quả việc thực thi chính sách và (iii) Tính khả thi việc thực hiện cam kết thực hiện chính sách.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chính sách có mối quan hệ, tác động qua lại với rủi ro kinh tế vĩ mô nêu ở điểm VII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Khi thẩm định dự án, phải xem xét mức độ tuân thủ của dự án (thể hiện trong hồ sơ dự án) để đảm bảo chấp hành nghiêm ngặt các luật và quy định hiện hành có liên quan tới dự án.</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Chủ đầu tư nên có những hợp đồng ưu đãi riêng qui định về vấn đề này (bất khả kháng do Chính phủ, ...).</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Những bảo lãnh cụ thể về cung cấp ngoại hối sẽ góp phần hạn chế ảnh hưởng tiêu cực tới dự án.</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Hỗ trợ/bảo hiểm tín dụng xuất khẩu.</w:t>
      </w:r>
      <w:r>
        <w:rPr>
          <w:sz w:val="26"/>
          <w:szCs w:val="28"/>
        </w:rPr>
      </w:r>
      <w:r>
        <w:rPr>
          <w:sz w:val="26"/>
          <w:szCs w:val="28"/>
        </w:rPr>
      </w:r>
    </w:p>
    <w:p>
      <w:pPr>
        <w:pBdr/>
        <w:tabs>
          <w:tab w:val="num" w:leader="none" w:pos="0"/>
          <w:tab w:val="left" w:leader="none" w:pos="1080"/>
          <w:tab w:val="left" w:leader="none" w:pos="8640"/>
        </w:tabs>
        <w:spacing/>
        <w:ind w:firstLine="567"/>
        <w:jc w:val="both"/>
        <w:rPr>
          <w:rFonts w:eastAsia="Calibri"/>
          <w:b/>
          <w:sz w:val="26"/>
          <w:szCs w:val="28"/>
        </w:rPr>
      </w:pPr>
      <w:r>
        <w:rPr>
          <w:b/>
          <w:bCs/>
          <w:sz w:val="26"/>
          <w:szCs w:val="26"/>
        </w:rPr>
        <w:t xml:space="preserve">2. Rủi ro thị trường đầu vào</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thị trường đầu vào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Dự án không có được nguồn vật tư, thiết bị, nguyên nhiên vật liệu (đầu vào chính/quan trọng) với số lượng, giá cả và chất lượng như dự kiến để vận hành dự án, tạo dòng tiền ổn định, đảm bảo khả năng trả nợ.</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có thể xảy ra trong quá trình xây dựng và vận hành dự án.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này có mối quan hệ, có thể là một trong những nguyên nhân dẫn đến rủi ro tiến độ nêu tại điểm V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thị trường đầu vào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yếu tố đầu vào phải nhập khẩu, đặc biệt các loại vật tư, thiết bị, nguyên liệu, năng lượng có số ít nhà cung cấp.</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sử dụng nguồn nguyên liệu đầu vào có tính thời vụ, phụ thuộc vào điều kiện thiên nhiên, yếu tố xã hội như dự án chế biến nông sản, sản xuất bột giấy…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nguồn tài nguyên thiên nhiên chưa được khảo sát, đánh giá kỹ; dự án sử dụng nguồn tài nguyên ngày càng suy giảm.</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loại nguyên liệu, nhiên liệu chủ yếu không thể thay thế.</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w:t>
      </w:r>
      <w:r>
        <w:rPr>
          <w:rFonts w:ascii="Times New Roman" w:hAnsi="Times New Roman" w:cs="Times New Roman"/>
          <w:sz w:val="26"/>
          <w:szCs w:val="26"/>
        </w:rPr>
        <w:t xml:space="preserve">rong quá trình xem xét dự án, Người thẩm định phải nghiên cứu, đánh giá cẩn trọng các báo cáo về chất lượng, trữ lượng nguyên vật liệu đầu vào trong hồ sơ dự án. Đưa ra những nhận định ngay từ ban đầu trong tính toán, xác định hiệu quả tài chính của dự án.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Nghiên cứu sự cạnh tranh giữa các nguồn cung cấp vật tư.</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Linh hoạt về thời gian và số lượng nguyên nhiên vật liệu mua vào.</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Những hợp đồng/thoả thuận với cơ chế chuyển qua tới người sử dụng cuối cùng.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Những hợp đồng cung cấp nguyên vật liệu đầu vào dài hạn với nhà cung cấp có uy tín.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Cần xác định vòng đời dự án theo hướng rút ngắn thời gian thu hồi vốn.</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3. Rủi ro thị trường đầu ra</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thị trường đầu ra</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Sản phẩm của dự án sản xuất ra không tiêu thụ được theo sản lượng, giá cả dự tính.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thị trường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sản xuất hàng xuất khẩu.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Thị trường tiêu thụ, đối tượng người tiêu dùng không đa dạng.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Sản phẩm là mặt hàng không phổ biến.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Thị hiếu về sản phẩm thay đổi và không sản xuất được sản phẩm thay thế. </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sz w:val="26"/>
          <w:szCs w:val="28"/>
        </w:rPr>
      </w:pPr>
      <w:r>
        <w:rPr>
          <w:rFonts w:ascii="Times New Roman" w:hAnsi="Times New Roman" w:cs="Times New Roman"/>
          <w:sz w:val="26"/>
          <w:szCs w:val="26"/>
        </w:rPr>
        <w:t xml:space="preserve">Loại rủi ro này có thể giảm thiểu bằng cách: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Nghiên cứu thị trường, đánh giá phân tích thị trường, thị phần cẩn thận. Đặc biệt phân tích thị trường, khả năng cạnh tranh khi từng bước hội nhập thị trường thế giới.</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Dự kiến Cung - Cầu thận trọng (không nên có những dự báo quá lạc quan).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Phân tích về khả năng thanh toán, thiện ý, hành vi của người tiêu dùng cuối cùng (không chỉ người bao tiêu).</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Tăng sức cạnh tranh của sản phẩm, dịch vụ đầu ra của dự án bằng các biện pháp: phân tích về việc cải tiến mẫu mã, nâng cao chất lượng sản phẩm, tiết kiệm chi phí sản xuất...</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Xem xét các hợp đồng bao tiêu sản phẩm dài hạn với bên có khả năng về tài chính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Hỗ trợ bao tiêu sản phẩm của Chính phủ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Khả năng linh hoạt của cơ cấu sản phẩm, dịch vụ đầu ra.</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Giảm thiểu các điều khoản không cạnh tranh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Xác định công xuất thực tế, giá bán sản phẩm không quá lạc quan. </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Cần xác định vòng đời dự án theo hướng rút ngắn thời gian thu hồi vốn.</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4. Rủi ro kỹ thuật - công nghệ</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kỹ thuật - công nghệ</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Đây là những rủi ro về việc dự án không thể vận hành và bảo trì ở mức độ phù hợp với các thông số thiết kế ban đầu. </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Sản phẩm sản xuất ra không phù hợp với thị hiếu và giá cả sau một thời gian chưa đủ thu hồi vốn.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Mức tiêu hao nguyên liệu, năng lượng, nhân công lớn.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Không đáp ứng yêu cầu bảo vệ môi trường (mối quan hệ với rủi ro môi trường điểm VI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kỹ thuật – công nghệ</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áp dụng công nghệ lạc hậu.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với công nghệ quá tiên tiến không có khả năng vận hành. Chi phí đầu tư lớn, thời gian thu hồi vốn dài.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thiết bị đã qua sử dụng.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thiết bị ở các thị trường độ tin cậy thấp (như Trung Quốc).</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1170"/>
          <w:tab w:val="left" w:leader="none" w:pos="8640"/>
        </w:tabs>
        <w:spacing/>
        <w:ind w:firstLine="567"/>
        <w:jc w:val="both"/>
        <w:rPr>
          <w:rFonts w:eastAsia="Calibri"/>
          <w:sz w:val="26"/>
          <w:szCs w:val="28"/>
        </w:rPr>
      </w:pPr>
      <w:r>
        <w:rPr>
          <w:sz w:val="26"/>
          <w:szCs w:val="26"/>
        </w:rPr>
        <w:t xml:space="preserve">Loại rủi ro này, Chủ đầu tư có thể giảm thiểu thông qua việc thực hiện một số biện pháp sau:</w:t>
      </w:r>
      <w:r>
        <w:rPr>
          <w:rFonts w:eastAsia="Calibri"/>
          <w:sz w:val="26"/>
          <w:szCs w:val="28"/>
        </w:rPr>
      </w:r>
      <w:r>
        <w:rPr>
          <w:rFonts w:eastAsia="Calibri"/>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Sử dụng công nghệ đã được kiểm chứng.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Bộ phận vận hành dự án phải được đào tạo tốt, có kinh nghiệm.</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Có thể ký hợp đồng vận hành và bảo trì với những điều khoản khuyến khích và phạt vi phạm rõ ràng.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Bảo hiểm các sự kiện bất khả kháng tự nhiên như lụt lội, động đất, chiến tranh.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Kiểm soát ngân sách và kế hoạch vận hành.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Quyền thay thế người vận hành do không thực hiện đầy đủ nghĩa vụ.</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5. Rủi ro tiến độ</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tiến độ</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Dự án không hoàn thành đúng thời hạn, không phù hợp với các thông số và tiêu chuẩn thực hiện. Từ đó dẫn đến chi phí đầu tư tăng, mất cơ hội tạo nguồn thu, thời gian hoàn vốn kéo dài.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tiến độ</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điều kiện thi công khó khăn, phụ thuộc nhiều vào yếu tố thiện nhiên, các yếu tố về địa hình, địa chất như thủy điện.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áp dụng công nghệ cao, công nghệ mới.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phần lớn các yếu tố nhập khẩu.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Nhà thầu xây dựng năng lực kém.</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phải giải phóng mặt bằng diện tích lớn, nhiều dân cư.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nằm ngoài khả năng điều chỉnh, kiểm soát của Ngân hàng, tuy nhiên có thể giảm thiểu bằng cách đề xuất với chủ đầu tư thực hiện các biện pháp sau: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Rà soát, đánh giá, thẩm định kỹ trong quá trình lập phê duyệt dự án của chủ đầu tư cũng như Ngân hàng.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Lựa chọn nhà thầu xây dựng uy tín, có sức mạnh tài chính và kinh nghiệm. Việc lựa chọn này càng chặt chẽ, minh bạch, và khách quan sẽ góp phần giảm thiểu những rủi ro loại này.</w:t>
      </w:r>
      <w:r>
        <w:rPr>
          <w:rFonts w:eastAsia="Calibri"/>
          <w:sz w:val="26"/>
          <w:szCs w:val="28"/>
        </w:rPr>
      </w:r>
      <w:r>
        <w:rPr>
          <w:rFonts w:eastAsia="Calibri"/>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Thực hiện nghiêm túc việc bảo lãnh thực hiện hợp đồng, bảo hành chất lượng công trình.</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Giám sát chặt chẽ trong quá trình xây dựng.</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Hỗ trợ của các cấp có thẩm quyền, dự phòng về tài chính của khách hàng trong trường hợp vượt dự toán.</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Quy định rõ trách nhiệm vấn đề đền bù, giải toả mặt bằng.</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Hợp đồng giá cố định hoặc chìa khóa trao tay với sự phân chia rõ ràng nghĩa vụ của các bên.</w:t>
      </w:r>
      <w:r>
        <w:rPr>
          <w:sz w:val="26"/>
          <w:szCs w:val="28"/>
        </w:rPr>
      </w:r>
      <w:r>
        <w:rPr>
          <w:sz w:val="26"/>
          <w:szCs w:val="28"/>
        </w:rPr>
      </w:r>
    </w:p>
    <w:p>
      <w:pPr>
        <w:pBdr/>
        <w:tabs>
          <w:tab w:val="num" w:leader="none" w:pos="360"/>
          <w:tab w:val="left" w:leader="none" w:pos="8640"/>
        </w:tabs>
        <w:spacing/>
        <w:ind w:firstLine="567"/>
        <w:jc w:val="both"/>
        <w:rPr>
          <w:bCs/>
          <w:sz w:val="26"/>
          <w:szCs w:val="28"/>
        </w:rPr>
      </w:pPr>
      <w:r>
        <w:rPr>
          <w:rFonts w:ascii="Times New Roman" w:hAnsi="Times New Roman" w:cs="Times New Roman"/>
          <w:sz w:val="26"/>
          <w:szCs w:val="26"/>
        </w:rPr>
        <w:t xml:space="preserve">6. Rủi ro môi trường trong hoạt động cấp tín dụng theo quy định của Agribank:</w:t>
      </w:r>
      <w:r>
        <w:rPr>
          <w:bCs/>
          <w:sz w:val="26"/>
          <w:szCs w:val="28"/>
        </w:rPr>
      </w:r>
      <w:r>
        <w:rPr>
          <w:bCs/>
          <w:sz w:val="26"/>
          <w:szCs w:val="28"/>
        </w:rPr>
      </w:r>
    </w:p>
    <w:p>
      <w:pPr>
        <w:pBdr/>
        <w:tabs>
          <w:tab w:val="num" w:leader="none" w:pos="360"/>
          <w:tab w:val="left" w:leader="none" w:pos="8640"/>
        </w:tabs>
        <w:spacing/>
        <w:ind w:firstLine="567"/>
        <w:jc w:val="both"/>
        <w:rPr>
          <w:bCs/>
          <w:sz w:val="26"/>
          <w:szCs w:val="28"/>
        </w:rPr>
      </w:pPr>
      <w:r>
        <w:rPr>
          <w:rFonts w:ascii="Times New Roman" w:hAnsi="Times New Roman" w:cs="Times New Roman"/>
          <w:sz w:val="26"/>
          <w:szCs w:val="26"/>
          <w:highlight w:val="yellow"/>
        </w:rPr>
        <w:t xml:space="preserve">tham khảo hướng dẫn tại quy định quản lý rủi ro về môi trường trong hoạt động cấp tín dụng số 1289/QyĐ-NHNo-RRTD ngày 31/5/2023 của Tổng Giám đốc Agribank.</w:t>
      </w:r>
      <w:r>
        <w:rPr>
          <w:bCs/>
          <w:sz w:val="26"/>
          <w:szCs w:val="28"/>
        </w:rPr>
      </w:r>
      <w:r>
        <w:rPr>
          <w:bCs/>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Nhận diện rủi ro rủi ro môi trường và xã hội</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Những tác động tiêu cực của dự án đối với môi trường và người dân xung quanh.</w:t>
      </w:r>
      <w:r>
        <w:rPr>
          <w:rFonts w:eastAsia="Calibri"/>
          <w:sz w:val="26"/>
          <w:szCs w:val="28"/>
        </w:rPr>
      </w:r>
      <w:r>
        <w:rPr>
          <w:rFonts w:eastAsia="Calibri"/>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thường gặp rủi ro môi trường và xã hội</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sử dụng nhiều nguồn tài nguyên tự nhiên như thủy điện, nhiệt điện, dự án sử dụng nhiều đất đai.</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ngành hóa chất.</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720"/>
          <w:tab w:val="left" w:leader="none" w:pos="1170"/>
          <w:tab w:val="left" w:leader="none" w:pos="8640"/>
        </w:tabs>
        <w:spacing/>
        <w:ind w:firstLine="567"/>
        <w:jc w:val="both"/>
        <w:rPr>
          <w:rFonts w:eastAsia="Calibri"/>
          <w:sz w:val="26"/>
          <w:szCs w:val="28"/>
        </w:rPr>
      </w:pPr>
      <w:r>
        <w:rPr>
          <w:sz w:val="26"/>
          <w:szCs w:val="26"/>
        </w:rPr>
        <w:t xml:space="preserve">Loại rủi ro này, Chủ đầu tư có thể giảm thiểu thông qua việc thực hiện một số biện pháp sau:</w:t>
      </w:r>
      <w:r>
        <w:rPr>
          <w:rFonts w:eastAsia="Calibri"/>
          <w:sz w:val="26"/>
          <w:szCs w:val="28"/>
        </w:rPr>
      </w:r>
      <w:r>
        <w:rPr>
          <w:rFonts w:eastAsia="Calibri"/>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Báo cáo đánh giá tác động môi trường (ĐTM) phải khách quan và toàn diện, được cấp có thẩm quyền phê duyệt.</w:t>
      </w:r>
      <w:r>
        <w:rPr>
          <w:sz w:val="26"/>
          <w:szCs w:val="28"/>
        </w:rPr>
      </w:r>
      <w:r>
        <w:rPr>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Nên có sự tham gia của các bên liên quan (cơ quan quản lý môi trường, chính quyền địa phương) từ khi bắt đầu triển khai dự án.</w:t>
      </w:r>
      <w:r>
        <w:rPr>
          <w:sz w:val="26"/>
          <w:szCs w:val="28"/>
        </w:rPr>
      </w:r>
      <w:r>
        <w:rPr>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Tuân thủ các quy định về môi trường.</w:t>
      </w:r>
      <w:r>
        <w:rPr>
          <w:sz w:val="26"/>
          <w:szCs w:val="28"/>
        </w:rPr>
      </w:r>
      <w:r>
        <w:rPr>
          <w:sz w:val="26"/>
          <w:szCs w:val="28"/>
        </w:rPr>
      </w:r>
    </w:p>
    <w:p>
      <w:pPr>
        <w:pBdr/>
        <w:tabs>
          <w:tab w:val="num" w:leader="none" w:pos="360"/>
          <w:tab w:val="left" w:leader="none" w:pos="8640"/>
        </w:tabs>
        <w:spacing/>
        <w:ind w:firstLine="567"/>
        <w:jc w:val="both"/>
        <w:rPr>
          <w:b/>
          <w:sz w:val="26"/>
          <w:szCs w:val="28"/>
        </w:rPr>
      </w:pPr>
      <w:r>
        <w:rPr>
          <w:rFonts w:ascii="Times New Roman" w:hAnsi="Times New Roman" w:cs="Times New Roman"/>
          <w:b/>
          <w:bCs/>
          <w:sz w:val="26"/>
          <w:szCs w:val="26"/>
        </w:rPr>
        <w:t xml:space="preserve">7. Rủi ro kinh tế vĩ mô, giá cả, tỷ giá, lãi suất</w:t>
      </w:r>
      <w:r>
        <w:rPr>
          <w:b/>
          <w:sz w:val="26"/>
          <w:szCs w:val="28"/>
        </w:rPr>
      </w:r>
      <w:r>
        <w:rPr>
          <w:b/>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Nhận diện rủi ro  rủi ro kinh tế vĩ mô, giá cả, tỷ giá, lãi suất</w:t>
      </w:r>
      <w:r>
        <w:rPr>
          <w:sz w:val="26"/>
          <w:szCs w:val="28"/>
        </w:rPr>
      </w:r>
      <w:r>
        <w:rPr>
          <w:sz w:val="26"/>
          <w:szCs w:val="28"/>
        </w:rPr>
      </w:r>
    </w:p>
    <w:p>
      <w:pPr>
        <w:pBdr/>
        <w:tabs>
          <w:tab w:val="num" w:leader="none" w:pos="0"/>
          <w:tab w:val="left" w:leader="none" w:pos="720"/>
          <w:tab w:val="left" w:leader="none" w:pos="8640"/>
        </w:tabs>
        <w:spacing/>
        <w:ind w:firstLine="567"/>
        <w:jc w:val="both"/>
        <w:rPr>
          <w:rFonts w:eastAsia="Calibri"/>
          <w:sz w:val="26"/>
          <w:szCs w:val="28"/>
          <w:highlight w:val="yellow"/>
        </w:rPr>
      </w:pPr>
      <w:r>
        <w:rPr>
          <w:sz w:val="26"/>
          <w:szCs w:val="26"/>
          <w:highlight w:val="yellow"/>
        </w:rPr>
        <w:t xml:space="preserve">Đây là những rủi ro phát sinh từ môi trường kinh tế vĩ mô, bao gồm tỷ giá hối đoái, lạm phát, lãi suất, v.v ...</w:t>
      </w:r>
      <w:r>
        <w:rPr>
          <w:rFonts w:eastAsia="Calibri"/>
          <w:sz w:val="26"/>
          <w:szCs w:val="28"/>
          <w:highlight w:val="yellow"/>
        </w:rPr>
      </w:r>
      <w:r>
        <w:rPr>
          <w:rFonts w:eastAsia="Calibri"/>
          <w:sz w:val="26"/>
          <w:szCs w:val="28"/>
          <w:highlight w:val="yellow"/>
        </w:rPr>
      </w:r>
    </w:p>
    <w:p>
      <w:pPr>
        <w:pBdr/>
        <w:tabs>
          <w:tab w:val="num" w:leader="none" w:pos="360"/>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Rủi ro này có mối quan hệ với rủi ro thị trường đầu vào, đầu ra.</w:t>
      </w:r>
      <w:r>
        <w:rPr>
          <w:sz w:val="26"/>
          <w:szCs w:val="28"/>
          <w:highlight w:val="yellow"/>
        </w:rPr>
      </w:r>
      <w:r>
        <w:rPr>
          <w:sz w:val="26"/>
          <w:szCs w:val="28"/>
          <w:highlight w:val="yellow"/>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highlight w:val="yellow"/>
        </w:rPr>
        <w:t xml:space="preserve">Rủi ro làm cho vốn đầu tư tăng, chi phí tăng nhưng doanh thu không tăng tương ứng.</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thường gặp rủi ro rủi ro kinh tế vĩ mô, giá cả, tỷ giá, lãi suất</w:t>
      </w:r>
      <w:r>
        <w:rPr>
          <w:sz w:val="26"/>
          <w:szCs w:val="28"/>
        </w:rPr>
      </w:r>
      <w:r>
        <w:rPr>
          <w:sz w:val="26"/>
          <w:szCs w:val="28"/>
        </w:rPr>
      </w:r>
    </w:p>
    <w:p>
      <w:pPr>
        <w:pBdr/>
        <w:tabs>
          <w:tab w:val="num" w:leader="none" w:pos="360"/>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Dự án phải sử dụng ngoại tệ để nhập khẩu.</w:t>
      </w:r>
      <w:r>
        <w:rPr>
          <w:sz w:val="26"/>
          <w:szCs w:val="28"/>
          <w:highlight w:val="yellow"/>
        </w:rPr>
      </w:r>
      <w:r>
        <w:rPr>
          <w:sz w:val="26"/>
          <w:szCs w:val="28"/>
          <w:highlight w:val="yellow"/>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highlight w:val="yellow"/>
        </w:rPr>
        <w:t xml:space="preserve">+ Dự án vay bằng ngoại tệ nhưng không có nguồn thu bằng ngoại tệ.</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72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567"/>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Phân tích các điều kiện kinh tế vĩ mô cơ bản.</w:t>
      </w:r>
      <w:r>
        <w:rPr>
          <w:sz w:val="26"/>
          <w:szCs w:val="28"/>
        </w:rPr>
      </w:r>
      <w:r>
        <w:rPr>
          <w:sz w:val="26"/>
          <w:szCs w:val="28"/>
        </w:rPr>
      </w:r>
    </w:p>
    <w:p>
      <w:pPr>
        <w:pBdr/>
        <w:tabs>
          <w:tab w:val="num" w:leader="none" w:pos="360"/>
          <w:tab w:val="left" w:leader="none" w:pos="567"/>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Sử dụng các công cụ thị trường như hoán đổi và tự bảo hiểm.</w:t>
      </w:r>
      <w:r>
        <w:rPr>
          <w:sz w:val="26"/>
          <w:szCs w:val="28"/>
        </w:rPr>
      </w:r>
      <w:r>
        <w:rPr>
          <w:sz w:val="26"/>
          <w:szCs w:val="28"/>
        </w:rPr>
      </w:r>
    </w:p>
    <w:p>
      <w:pPr>
        <w:pBdr/>
        <w:tabs>
          <w:tab w:val="num" w:leader="none" w:pos="360"/>
          <w:tab w:val="left" w:leader="none" w:pos="72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Bảo vệ trong các hợp đồng (ví dụ: chỉ số hoá, cơ chế chuyển qua, giá cả leo thang, bất khả kháng).</w:t>
      </w:r>
      <w:r>
        <w:rPr>
          <w:sz w:val="26"/>
          <w:szCs w:val="28"/>
        </w:rPr>
      </w:r>
      <w:r>
        <w:rPr>
          <w:sz w:val="26"/>
          <w:szCs w:val="28"/>
        </w:rPr>
      </w:r>
    </w:p>
    <w:p>
      <w:pPr>
        <w:pBdr/>
        <w:tabs>
          <w:tab w:val="left" w:leader="none" w:pos="0"/>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Đảm bảo/cam kết của Nhà nước về phá giá tiền tệ và cung cấp ngoại hối (nếu được).</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8. Các rủi ro khác</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Năng lực tài chính của chủ đầu tư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 Chủ đầu tư không có khả năng tham gia vốn đối ứng vào dự án theo cam kết. </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 Không huy động đủ vốn theo kế hoạch để xây dựng và vận hành dự án.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Khả năng vận hành dự án của chủ đầu tư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 Chủ đầu tư không có kinh nghiệm trong lĩnh vực đầu tư.</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 Không có sự liên kết, hợp tác trên thị trường, bị các đối thủ áp đặt.</w:t>
      </w:r>
      <w:r>
        <w:rPr>
          <w:rFonts w:eastAsia="Calibri"/>
          <w:sz w:val="26"/>
          <w:szCs w:val="28"/>
        </w:rPr>
      </w:r>
      <w:r>
        <w:rPr>
          <w:rFonts w:eastAsia="Calibri"/>
          <w:sz w:val="26"/>
          <w:szCs w:val="28"/>
        </w:rPr>
      </w:r>
    </w:p>
    <w:p>
      <w:pPr>
        <w:pBdr/>
        <w:spacing/>
        <w:ind w:firstLine="567"/>
        <w:jc w:val="both"/>
        <w:rPr>
          <w:b/>
          <w:bCs/>
          <w:sz w:val="26"/>
          <w:szCs w:val="28"/>
        </w:rPr>
      </w:pPr>
      <w:r>
        <w:rPr>
          <w:rFonts w:ascii="Times New Roman" w:hAnsi="Times New Roman" w:cs="Times New Roman"/>
          <w:b/>
          <w:bCs/>
          <w:sz w:val="26"/>
          <w:szCs w:val="26"/>
        </w:rPr>
        <w:t xml:space="preserve">VI. Đánh giá điều kiện cho vay ngoại tệ: không</w:t>
      </w:r>
      <w:r>
        <w:rPr>
          <w:b/>
          <w:bCs/>
          <w:sz w:val="26"/>
          <w:szCs w:val="28"/>
        </w:rPr>
      </w:r>
      <w:r>
        <w:rPr>
          <w:b/>
          <w:bCs/>
          <w:sz w:val="26"/>
          <w:szCs w:val="28"/>
        </w:rPr>
      </w:r>
    </w:p>
    <w:p>
      <w:pPr>
        <w:pBdr/>
        <w:spacing/>
        <w:ind w:firstLine="567"/>
        <w:jc w:val="both"/>
        <w:rPr>
          <w:b/>
          <w:bCs/>
          <w:sz w:val="26"/>
          <w:szCs w:val="28"/>
        </w:rPr>
      </w:pPr>
      <w:r>
        <w:rPr>
          <w:rFonts w:ascii="Times New Roman" w:hAnsi="Times New Roman" w:cs="Times New Roman"/>
          <w:b/>
          <w:bCs/>
          <w:sz w:val="26"/>
          <w:szCs w:val="26"/>
        </w:rPr>
        <w:t xml:space="preserve">VII. Đánh giá </w:t>
      </w:r>
      <w:r>
        <w:rPr>
          <w:b/>
          <w:bCs/>
          <w:sz w:val="26"/>
          <w:szCs w:val="28"/>
        </w:rPr>
      </w:r>
      <w:r>
        <w:rPr>
          <w:b/>
          <w:bCs/>
          <w:sz w:val="26"/>
          <w:szCs w:val="28"/>
        </w:rPr>
      </w:r>
    </w:p>
    <w:p>
      <w:pPr>
        <w:pBdr/>
        <w:spacing/>
        <w:ind w:firstLine="567"/>
        <w:jc w:val="both"/>
        <w:rPr>
          <w:sz w:val="26"/>
          <w:szCs w:val="28"/>
        </w:rPr>
      </w:pPr>
      <w:r>
        <w:rPr>
          <w:rFonts w:ascii="Times New Roman" w:hAnsi="Times New Roman" w:cs="Times New Roman"/>
          <w:sz w:val="26"/>
          <w:szCs w:val="26"/>
        </w:rPr>
        <w:t xml:space="preserve">1. Xác định người có liên quan của khách hàng, tổng dư nợ cấp tín dụng của khách hàng và người có liên quan tại Agribank: </w:t>
      </w:r>
      <w:r>
        <w:rPr>
          <w:sz w:val="26"/>
          <w:szCs w:val="28"/>
        </w:rPr>
      </w:r>
      <w:r>
        <w:rPr>
          <w:sz w:val="26"/>
          <w:szCs w:val="28"/>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STT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Tên tổ chức/cá nhân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Mã số ĐKKD/ CMND</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Mối quan hệ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textDirection w:val="lrTb"/>
            <w:noWrap w:val="false"/>
          </w:tcPr>
          <w:p>
            <w:pPr>
              <w:pBdr/>
              <w:spacing/>
              <w:ind/>
              <w:jc w:val="center"/>
              <w:rPr>
                <w:b/>
                <w:bCs/>
                <w:sz w:val="26"/>
                <w:szCs w:val="26"/>
                <w:shd w:val="clear" w:color="auto" w:fill="ffffff"/>
              </w:rPr>
            </w:pPr>
            <w:r>
              <w:rPr>
                <w:rFonts w:ascii="Times New Roman" w:hAnsi="Times New Roman" w:cs="Times New Roman"/>
                <w:b/>
                <w:bCs/>
                <w:sz w:val="26"/>
                <w:szCs w:val="26"/>
              </w:rPr>
              <w:t xml:space="preserve">Dư nợ tại gribank</w:t>
            </w:r>
            <w:r>
              <w:rPr>
                <w:b/>
                <w:bCs/>
                <w:sz w:val="26"/>
                <w:szCs w:val="26"/>
                <w:shd w:val="clear" w:color="auto" w:fill="ffffff"/>
              </w:rPr>
            </w:r>
            <w:r>
              <w:rPr>
                <w:b/>
                <w:bCs/>
                <w:sz w:val="26"/>
                <w:szCs w:val="26"/>
                <w:shd w:val="clear" w:color="auto" w:fill="ffffff"/>
              </w:rPr>
            </w:r>
          </w:p>
          <w:p>
            <w:pPr>
              <w:pBdr/>
              <w:spacing/>
              <w:ind/>
              <w:jc w:val="center"/>
              <w:rPr>
                <w:b/>
                <w:bCs/>
                <w:sz w:val="26"/>
                <w:szCs w:val="26"/>
                <w:shd w:val="clear" w:color="auto" w:fill="ffffff"/>
              </w:rPr>
            </w:pPr>
            <w:r>
              <w:rPr>
                <w:rFonts w:ascii="Times New Roman" w:hAnsi="Times New Roman" w:cs="Times New Roman"/>
                <w:b/>
                <w:bCs/>
                <w:sz w:val="26"/>
                <w:szCs w:val="26"/>
              </w:rPr>
              <w:t xml:space="preserve">(VND)</w:t>
            </w:r>
            <w:r>
              <w:rPr>
                <w:b/>
                <w:bCs/>
                <w:sz w:val="26"/>
                <w:szCs w:val="26"/>
                <w:shd w:val="clear" w:color="auto" w:fill="ffffff"/>
              </w:rPr>
            </w:r>
            <w:r>
              <w:rPr>
                <w:b/>
                <w:bCs/>
                <w:sz w:val="26"/>
                <w:szCs w:val="26"/>
                <w:shd w:val="clear" w:color="auto" w:fill="ffffff"/>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[STT]</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rPr>
                <w:sz w:val="26"/>
                <w:szCs w:val="26"/>
              </w:rPr>
            </w:pPr>
            <w:r>
              <w:rPr>
                <w:rFonts w:ascii="Times New Roman" w:hAnsi="Times New Roman" w:cs="Times New Roman"/>
                <w:sz w:val="26"/>
                <w:szCs w:val="26"/>
              </w:rPr>
              <w:t xml:space="preserve">[Tên tổ chức/Cá nhân]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ĐKKD/CMND]</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[Mối liên quan]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textDirection w:val="lrTb"/>
            <w:noWrap w:val="false"/>
          </w:tcPr>
          <w:p>
            <w:pPr>
              <w:pBdr/>
              <w:spacing/>
              <w:ind/>
              <w:jc w:val="center"/>
              <w:rPr>
                <w:sz w:val="26"/>
                <w:szCs w:val="26"/>
              </w:rPr>
            </w:pPr>
            <w:r>
              <w:rPr>
                <w:rFonts w:ascii="Times New Roman" w:hAnsi="Times New Roman" w:cs="Times New Roman"/>
                <w:sz w:val="26"/>
                <w:szCs w:val="26"/>
              </w:rPr>
              <w:t xml:space="preserve">[Tổng số dư cấp tín dụng]</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b/>
                <w:sz w:val="26"/>
                <w:szCs w:val="26"/>
              </w:rPr>
            </w:pPr>
            <w:r>
              <w:rPr>
                <w:b/>
                <w:sz w:val="26"/>
                <w:szCs w:val="26"/>
              </w:rPr>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Cộng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[Tổng Tổng số dư cấp tín dụng]</w:t>
            </w:r>
            <w:r>
              <w:rPr>
                <w:b/>
                <w:sz w:val="26"/>
                <w:szCs w:val="26"/>
              </w:rPr>
            </w:r>
            <w:r>
              <w:rPr>
                <w:b/>
                <w:sz w:val="26"/>
                <w:szCs w:val="26"/>
              </w:rPr>
            </w:r>
          </w:p>
        </w:tc>
      </w:tr>
    </w:tbl>
    <w:p>
      <w:pPr>
        <w:pBdr/>
        <w:spacing/>
        <w:ind w:firstLine="567"/>
        <w:jc w:val="both"/>
        <w:rPr>
          <w:sz w:val="26"/>
          <w:szCs w:val="26"/>
        </w:rPr>
      </w:pPr>
      <w:r>
        <w:rPr>
          <w:rFonts w:ascii="Times New Roman" w:hAnsi="Times New Roman" w:cs="Times New Roman"/>
          <w:sz w:val="26"/>
          <w:szCs w:val="26"/>
        </w:rPr>
        <w:t xml:space="preserve">- Tổng dư nợ cấp tín dụng của khách hàng và người có liên quan tại Agribank là: </w:t>
      </w:r>
      <w:r>
        <w:rPr>
          <w:rFonts w:ascii="Times New Roman" w:hAnsi="Times New Roman" w:cs="Times New Roman"/>
          <w:b/>
          <w:bCs/>
          <w:sz w:val="26"/>
          <w:szCs w:val="26"/>
        </w:rPr>
        <w:t xml:space="preserve">[Dư nợ của KH và NLQ tại Agribank]</w:t>
      </w:r>
      <w:r>
        <w:rPr>
          <w:rFonts w:ascii="Times New Roman" w:hAnsi="Times New Roman" w:cs="Times New Roman"/>
          <w:sz w:val="26"/>
          <w:szCs w:val="26"/>
        </w:rPr>
        <w:t xml:space="preserve"> đồng.</w:t>
      </w:r>
      <w:r>
        <w:rPr>
          <w:sz w:val="26"/>
          <w:szCs w:val="26"/>
        </w:rPr>
      </w:r>
      <w:r>
        <w:rPr>
          <w:sz w:val="26"/>
          <w:szCs w:val="26"/>
        </w:rPr>
      </w:r>
    </w:p>
    <w:p>
      <w:pPr>
        <w:pBdr/>
        <w:spacing/>
        <w:ind w:firstLine="567"/>
        <w:jc w:val="both"/>
        <w:rPr>
          <w:rFonts w:eastAsia="Calibri"/>
          <w:sz w:val="26"/>
          <w:szCs w:val="26"/>
        </w:rPr>
      </w:pPr>
      <w:r>
        <w:rPr>
          <w:sz w:val="26"/>
          <w:szCs w:val="26"/>
        </w:rPr>
        <w:t xml:space="preserve">2. Kết quả chấm điểm xếp hạng tín dụng nội bộ của khách hàng, bao gồm kết quả xếp hạng tín nhiệm tại các tổ chức tín dụng, chi nhánh ngân hàng nước ngoài khác (nếu có); Khách hàng xếp hạng [Xếp hạng KH theo CIC]</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3. Đánh giá quy định về hạn chế cho vay, giới hạn cho vay, thẩm quyền cấp tín dụng:</w:t>
      </w:r>
      <w:r>
        <w:rPr>
          <w:rFonts w:eastAsia="Calibri"/>
          <w:sz w:val="26"/>
          <w:szCs w:val="26"/>
        </w:rPr>
      </w:r>
      <w:r>
        <w:rPr>
          <w:rFonts w:eastAsia="Calibri"/>
          <w:sz w:val="26"/>
          <w:szCs w:val="26"/>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23 Quy chế số 656/QC-HĐTV-TD ngày 31/08/2023 của Hội đồng thành viên Agribank về Quy chế cho vay đối với khách hàng trong hệ thống Agribank (QC 656): khách hàng không thuộc đối tượng hạn chế cấp tín dụng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24 QC 656 (Cấp tín dụng đối với Giám đốc, Phó Giám đốc chi nhánh và các chức danh tương đương): khách hàng không thuộc đối tượng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25 QC 656 (Giới hạn cấp tín dụng): tổng mức dư cấp tín dụng đối với một khách hàng và người có liên quan không vượt quá giới hạn cấp tín dụng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Quyết định số 204 và 545/QĐ-HĐTV-TD của Hội đồng thành viên Agribank về ban hành Quy định phân cấp quyết định cấp tín dụng trong hệ thống Agribank và Quyết định sửa đổi bổ sung, rà soát thẩm quyền phê duyệt cấp tín dụng đối với khoản vay:</w:t>
      </w:r>
      <w:r>
        <w:rPr>
          <w:sz w:val="26"/>
          <w:szCs w:val="28"/>
        </w:rPr>
      </w:r>
      <w:r>
        <w:rPr>
          <w:sz w:val="26"/>
          <w:szCs w:val="28"/>
        </w:rPr>
      </w:r>
    </w:p>
    <w:p>
      <w:pPr>
        <w:pBdr/>
        <w:spacing/>
        <w:ind w:firstLine="567"/>
        <w:jc w:val="both"/>
        <w:rPr>
          <w:rFonts w:eastAsia="Calibri"/>
          <w:bCs/>
          <w:sz w:val="26"/>
          <w:szCs w:val="26"/>
        </w:rPr>
      </w:pPr>
      <w:r>
        <w:rPr>
          <w:sz w:val="26"/>
          <w:szCs w:val="26"/>
        </w:rPr>
        <w:t xml:space="preserve">- Công thức xác định như sau :</w:t>
      </w:r>
      <w:r>
        <w:rPr>
          <w:rFonts w:eastAsia="Calibri"/>
          <w:bCs/>
          <w:sz w:val="26"/>
          <w:szCs w:val="26"/>
        </w:rPr>
      </w:r>
      <w:r>
        <w:rPr>
          <w:rFonts w:eastAsia="Calibri"/>
          <w:bCs/>
          <w:sz w:val="26"/>
          <w:szCs w:val="26"/>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Thẩm quyền cấp  tín dụng đối với một khách hàng và người có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16" w:type="pct"/>
            <w:vAlign w:val="center"/>
            <w:textDirection w:val="lrTb"/>
            <w:noWrap w:val="false"/>
          </w:tcPr>
          <w:p>
            <w:pPr>
              <w:pBdr/>
              <w:spacing/>
              <w:ind/>
              <w:jc w:val="center"/>
              <w:rPr>
                <w:b/>
                <w:sz w:val="26"/>
                <w:szCs w:val="26"/>
              </w:rPr>
            </w:pPr>
            <w:r>
              <w:rPr>
                <w:rFonts w:ascii="Times New Roman" w:hAnsi="Times New Roman" w:cs="Times New Roman"/>
                <w:b/>
                <w:bCs/>
                <w:sz w:val="28"/>
                <w:szCs w:val="28"/>
              </w:rPr>
              <w:t xml:space="preserve">=</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01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Tổng thẩm quyền cấp tín dụng của Giám đốc chi nhánh đối với các khách hàng thuộc nhóm khách hàng và người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16" w:type="pct"/>
            <w:vAlign w:val="center"/>
            <w:textDirection w:val="lrTb"/>
            <w:noWrap w:val="false"/>
          </w:tcPr>
          <w:p>
            <w:pPr>
              <w:pBdr/>
              <w:spacing/>
              <w:ind/>
              <w:jc w:val="center"/>
              <w:rPr>
                <w:b/>
                <w:sz w:val="26"/>
                <w:szCs w:val="26"/>
              </w:rPr>
            </w:pPr>
            <w:r>
              <w:rPr>
                <w:rFonts w:ascii="Times New Roman" w:hAnsi="Times New Roman" w:cs="Times New Roman"/>
                <w:b/>
                <w:bCs/>
                <w:sz w:val="28"/>
                <w:szCs w:val="28"/>
              </w:rPr>
              <w:t xml:space="preserve">*</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[100% - 10%*(n-1)]</w:t>
            </w:r>
            <w:r>
              <w:rPr>
                <w:b/>
                <w:sz w:val="26"/>
                <w:szCs w:val="26"/>
              </w:rPr>
            </w:r>
            <w:r>
              <w:rPr>
                <w:b/>
                <w:sz w:val="26"/>
                <w:szCs w:val="26"/>
              </w:rPr>
            </w:r>
          </w:p>
        </w:tc>
      </w:tr>
    </w:tbl>
    <w:p>
      <w:pPr>
        <w:pBdr/>
        <w:spacing w:before="120"/>
        <w:ind w:firstLine="567"/>
        <w:jc w:val="both"/>
        <w:rPr>
          <w:sz w:val="26"/>
          <w:szCs w:val="26"/>
        </w:rPr>
      </w:pPr>
      <w:r>
        <w:rPr>
          <w:rFonts w:ascii="Times New Roman" w:hAnsi="Times New Roman" w:cs="Times New Roman"/>
          <w:sz w:val="26"/>
          <w:szCs w:val="26"/>
        </w:rPr>
        <w:t xml:space="preserve">Trong đó n là số khách hàng và người có liên quan có quan hệ tín dụng với Chi nhánh (trường hợp n&gt;5 thì tính n=5). Cụ thể đối với trường hợp này n =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highlight w:val="yellow"/>
        </w:rPr>
        <w:t xml:space="preserve">(CBTD nhập giá trị “n” vào)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Thẩm quyền cấp tín dụng đối với khách hàng [Tên khách hàng] và người có liên quan: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([Dư nợ của KH và NLQ tại Agribank] + [Tổng nhu cầu cấp TD])* [100% - 10%*(n-1)] = ......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Tổng thẩm quyền cấp tín dụng của Giám đốc Agribank [Tên chi nhánh/PGD] đối với nhóm khách hàng và người liên quan theo quy định hiện nay: ......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Số tiền đề xuất Giám đốc Agribank [Tên chi nhánh/PGD] phê duyệt đối với khách hàng và người có liên quan là [Dư nợ của KH và NLQ tại Agribank] + [Tổng nhu cầu cấp TD] đồng: Thuộc thẩm quyền của Giám đốc Agribank [Tên chi nhánh/PGD].</w:t>
      </w:r>
      <w:r>
        <w:rPr>
          <w:sz w:val="26"/>
          <w:szCs w:val="26"/>
        </w:rPr>
      </w:r>
      <w:r>
        <w:rPr>
          <w:sz w:val="26"/>
          <w:szCs w:val="26"/>
        </w:rPr>
      </w:r>
    </w:p>
    <w:p>
      <w:pPr>
        <w:pBdr/>
        <w:spacing/>
        <w:ind w:firstLine="567"/>
        <w:jc w:val="both"/>
        <w:rPr>
          <w:rFonts w:eastAsia="Calibri"/>
          <w:sz w:val="26"/>
          <w:szCs w:val="26"/>
        </w:rPr>
      </w:pPr>
      <w:r>
        <w:rPr>
          <w:sz w:val="26"/>
          <w:szCs w:val="26"/>
        </w:rPr>
        <w:t xml:space="preserve">4. Thẩm định khả năng đáp ứng các điều kiện vay vốn của khách hàng: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a) Đánh giá năng lực pháp luật dân sự của khách hàng, năng lực hành vi dân sự của người đại diện theo pháp luật tại thời điểm vay vốn: Đầy đủ theo đúng quy định;</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b) Đánh giá tính hợp pháp của mục đích sử dụng vốn: Mục đích sử dụng vốn hợp pháp và không trái với quy định của Pháp luật, Ngân hàng Nhà nước và Agribank;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c) Đánh giá tính khả thi của phương án sử dụng vốn: phương án khả thi;</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d) Đánh giá khả năng tài chính để trả nợ: đảm bảo khả năng trả nợ, có khả năng thanh toán nợ gốc, lãi cho Agribank theo đúng cam kết</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5. Đánh giá tiêu ch</w:t>
      </w:r>
      <w:r>
        <w:rPr>
          <w:sz w:val="26"/>
          <w:szCs w:val="26"/>
        </w:rPr>
        <w:t xml:space="preserve">í khách hàng có tình hình tài chính minh bạch, lành mạnh đối với nhu cầu cho vay ngắn hạn bằng đồng Việt Nam không vượt quá mức lãi suất cho vay tối đa do Thống đốc NHNN quyết định trong từng thời kỳ nhằm đáp ứng một số nhu cầu vốn theo quy định của NHNN: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Việc đáp ứng các tiêu chí khách hàng có tình hình tài chính minh bạch, lành mạnh [Tài chính minh bạch, LM]. Lý do: [Lý do đáp ứng/không đáp ứng TCMBLM]</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6. Đánh giá tính pháp lý và khả năng thu hồi của TSBĐ: Hồ sơ về tài sản bảo đảm đầy đủ, tài sản bảo đảm đáp ứng đủ các điều kiện theo quy định của Agribank</w:t>
      </w:r>
      <w:r>
        <w:rPr>
          <w:sz w:val="26"/>
          <w:szCs w:val="26"/>
        </w:rPr>
      </w:r>
      <w:r>
        <w:rPr>
          <w:sz w:val="26"/>
          <w:szCs w:val="26"/>
        </w:rPr>
      </w:r>
    </w:p>
    <w:p>
      <w:pPr>
        <w:pBdr/>
        <w:spacing/>
        <w:ind w:firstLine="567"/>
        <w:jc w:val="both"/>
        <w:rPr>
          <w:rFonts w:eastAsia="Calibri"/>
          <w:sz w:val="26"/>
          <w:szCs w:val="26"/>
        </w:rPr>
      </w:pPr>
      <w:r>
        <w:rPr>
          <w:sz w:val="26"/>
          <w:szCs w:val="26"/>
        </w:rPr>
        <w:t xml:space="preserve">6. Thẩm định khả năng thực hiện các nghĩa vụ cam kết của bên bảo lãnh (đối với các khoản cho vay có bảo lãnh của bên thứ ba): </w:t>
      </w:r>
      <w:r>
        <w:rPr>
          <w:color w:val="0000ff"/>
          <w:sz w:val="26"/>
          <w:szCs w:val="26"/>
        </w:rPr>
        <w:t xml:space="preserve">Không có</w:t>
      </w:r>
      <w:r>
        <w:rPr>
          <w:rFonts w:eastAsia="Calibri"/>
          <w:sz w:val="26"/>
          <w:szCs w:val="26"/>
        </w:rPr>
      </w:r>
      <w:r>
        <w:rPr>
          <w:rFonts w:eastAsia="Calibri"/>
          <w:sz w:val="26"/>
          <w:szCs w:val="26"/>
        </w:rPr>
      </w:r>
    </w:p>
    <w:p>
      <w:pPr>
        <w:pBdr/>
        <w:spacing/>
        <w:ind w:firstLine="567"/>
        <w:jc w:val="both"/>
        <w:rPr>
          <w:b/>
          <w:bCs/>
          <w:sz w:val="26"/>
          <w:szCs w:val="28"/>
        </w:rPr>
      </w:pPr>
      <w:r>
        <w:rPr>
          <w:rFonts w:ascii="Times New Roman" w:hAnsi="Times New Roman" w:cs="Times New Roman"/>
          <w:b/>
          <w:bCs/>
          <w:sz w:val="26"/>
          <w:szCs w:val="26"/>
        </w:rPr>
        <w:t xml:space="preserve">VIII. Đề xuất</w:t>
      </w:r>
      <w:r>
        <w:rPr>
          <w:b/>
          <w:bCs/>
          <w:sz w:val="26"/>
          <w:szCs w:val="28"/>
        </w:rPr>
      </w:r>
      <w:r>
        <w:rPr>
          <w:b/>
          <w:bCs/>
          <w:sz w:val="26"/>
          <w:szCs w:val="28"/>
        </w:rPr>
      </w:r>
    </w:p>
    <w:p>
      <w:pPr>
        <w:pBdr/>
        <w:spacing/>
        <w:ind w:firstLine="567"/>
        <w:jc w:val="both"/>
        <w:rPr>
          <w:bCs/>
          <w:sz w:val="26"/>
          <w:szCs w:val="28"/>
        </w:rPr>
      </w:pPr>
      <w:r>
        <w:rPr>
          <w:rFonts w:ascii="Times New Roman" w:hAnsi="Times New Roman" w:cs="Times New Roman"/>
          <w:sz w:val="26"/>
          <w:szCs w:val="26"/>
        </w:rPr>
        <w:t xml:space="preserve">Trên cơ sở hồ sơ vay vốn, đề xuất của Người quan hệ khách hàng, Người thẩm định đã tiến hành thẩm định và đối chiếu với quy định về cho vay trong hệ thống Agribank, và đề xuất như sau:</w:t>
      </w:r>
      <w:r>
        <w:rPr>
          <w:bCs/>
          <w:sz w:val="26"/>
          <w:szCs w:val="28"/>
        </w:rPr>
      </w:r>
      <w:r>
        <w:rPr>
          <w:bCs/>
          <w:sz w:val="26"/>
          <w:szCs w:val="28"/>
        </w:rPr>
      </w:r>
    </w:p>
    <w:p>
      <w:pPr>
        <w:pBdr/>
        <w:tabs>
          <w:tab w:val="left" w:leader="none" w:pos="0"/>
          <w:tab w:val="left" w:leader="none" w:pos="567"/>
        </w:tabs>
        <w:spacing/>
        <w:ind w:firstLine="567"/>
        <w:jc w:val="both"/>
        <w:rPr>
          <w:rFonts w:eastAsia="Calibri"/>
          <w:bCs/>
          <w:sz w:val="26"/>
          <w:szCs w:val="22"/>
        </w:rPr>
      </w:pPr>
      <w:r>
        <w:rPr>
          <w:sz w:val="26"/>
          <w:szCs w:val="26"/>
        </w:rPr>
        <w:t xml:space="preserve">1. Đồng ý cho vay và đề xuất như sau:</w:t>
      </w:r>
      <w:r>
        <w:rPr>
          <w:rFonts w:eastAsia="Calibri"/>
          <w:bCs/>
          <w:sz w:val="26"/>
          <w:szCs w:val="22"/>
        </w:rPr>
      </w:r>
      <w:r>
        <w:rPr>
          <w:rFonts w:eastAsia="Calibri"/>
          <w:bCs/>
          <w:sz w:val="26"/>
          <w:szCs w:val="22"/>
        </w:rPr>
      </w:r>
    </w:p>
    <w:tbl>
      <w:tblPr>
        <w:tblStyle w:val="1052"/>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TT</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Nội dung</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Chi tiết</w:t>
            </w:r>
            <w:r>
              <w:rPr>
                <w:rFonts w:eastAsia="Arial"/>
                <w:b/>
                <w:bCs/>
                <w:sz w:val="26"/>
                <w:szCs w:val="28"/>
              </w:rPr>
            </w:r>
            <w:r>
              <w:rPr>
                <w:rFonts w:eastAsia="Arial"/>
                <w:b/>
                <w:bCs/>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2</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Tổng mức cấp tín dụng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Số tiền cho vay tối đa: [Tổng nhu cầu cấp TD] đồng </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Bằng chữ: [TNCCTD bằng chữ]</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3</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4</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5</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sử dụng vốn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6</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gian cho vay/Thời hạn duy trì hạn mức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hạn vay] tháng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7</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Kỳ hạn trả nợ gốc/lãi</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Trả gốc: [Định kỳ trả gốc]</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Trả lãi: [Định kỳ trả lãi]</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8</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cho vay, phí…</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vay được quy định cụ thể theo từng lần nhận nợ</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9</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Bảo đảm tiền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Mức cho vay có bảo đảm bằng tài sản: [Tỷ lệ % bảo đảm]%</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10</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Các nội dung khác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Không có</w:t>
            </w:r>
            <w:r>
              <w:rPr>
                <w:rFonts w:eastAsia="Arial"/>
                <w:sz w:val="26"/>
                <w:szCs w:val="28"/>
              </w:rPr>
            </w:r>
            <w:r>
              <w:rPr>
                <w:rFonts w:eastAsia="Arial"/>
                <w:sz w:val="26"/>
                <w:szCs w:val="28"/>
              </w:rPr>
            </w:r>
          </w:p>
        </w:tc>
      </w:tr>
    </w:tbl>
    <w:p>
      <w:pPr>
        <w:pBdr/>
        <w:spacing/>
        <w:ind w:firstLine="567"/>
        <w:jc w:val="both"/>
        <w:rPr>
          <w:rFonts w:eastAsia="Calibri"/>
          <w:sz w:val="26"/>
          <w:szCs w:val="26"/>
        </w:rPr>
      </w:pPr>
      <w:r>
        <w:rPr>
          <w:sz w:val="26"/>
          <w:szCs w:val="26"/>
        </w:rPr>
        <w:t xml:space="preserve">Kính chuyển Chủ tịch Hội đồng tín dụng tổ chức họp Hội đồng tín dụng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(Đối với khoản cấp tín dụng phải thông qua Hội đồng tín dụng - nếu không thông qua HĐTD thì xóa dòng Kính chuyển ...)</w:t>
      </w:r>
      <w:r>
        <w:rPr>
          <w:rFonts w:eastAsia="Calibri"/>
          <w:sz w:val="26"/>
          <w:szCs w:val="26"/>
        </w:rPr>
      </w:r>
      <w:r>
        <w:rPr>
          <w:rFonts w:eastAsia="Calibri"/>
          <w:sz w:val="26"/>
          <w:szCs w:val="26"/>
        </w:rPr>
      </w:r>
    </w:p>
    <w:tbl>
      <w:tblPr>
        <w:tblStyle w:val="1048"/>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7" w:type="dxa"/>
            <w:textDirection w:val="lrTb"/>
            <w:noWrap w:val="false"/>
          </w:tcPr>
          <w:p>
            <w:pPr>
              <w:pBdr/>
              <w:spacing/>
              <w:ind/>
              <w:rPr>
                <w:szCs w:val="26"/>
              </w:rPr>
            </w:pPr>
            <w:r>
              <w:rPr>
                <w:szCs w:val="26"/>
              </w:rPr>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7" w:type="dxa"/>
            <w:textDirection w:val="lrTb"/>
            <w:noWrap w:val="false"/>
          </w:tcPr>
          <w:p>
            <w:pPr>
              <w:pBdr/>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spacing/>
              <w:ind/>
              <w:jc w:val="center"/>
              <w:rPr>
                <w:b/>
                <w:sz w:val="26"/>
                <w:szCs w:val="26"/>
              </w:rPr>
            </w:pPr>
            <w:r>
              <w:rPr>
                <w:rFonts w:ascii="Times New Roman" w:hAnsi="Times New Roman" w:cs="Times New Roman"/>
                <w:b/>
                <w:bCs/>
                <w:sz w:val="26"/>
                <w:szCs w:val="26"/>
              </w:rPr>
              <w:t xml:space="preserve">NGƯỜI THẨM ĐỊNH</w:t>
            </w:r>
            <w:r>
              <w:rPr>
                <w:b/>
                <w:sz w:val="26"/>
                <w:szCs w:val="26"/>
              </w:rPr>
            </w:r>
            <w:r>
              <w:rPr>
                <w:b/>
                <w:sz w:val="26"/>
                <w:szCs w:val="26"/>
              </w:rPr>
            </w:r>
          </w:p>
          <w:p>
            <w:pPr>
              <w:pBdr/>
              <w:spacing/>
              <w:ind/>
              <w:jc w:val="center"/>
              <w:rPr>
                <w:i/>
                <w:szCs w:val="26"/>
              </w:rPr>
            </w:pPr>
            <w:r>
              <w:rPr>
                <w:rFonts w:ascii="Times New Roman" w:hAnsi="Times New Roman" w:cs="Times New Roman"/>
                <w:i/>
                <w:iCs/>
                <w:sz w:val="24"/>
                <w:szCs w:val="24"/>
              </w:rPr>
              <w:t xml:space="preserve">(Ký, ghi rõ họ tên)</w:t>
            </w:r>
            <w:r>
              <w:rPr>
                <w:i/>
                <w:szCs w:val="26"/>
              </w:rPr>
            </w:r>
            <w:r>
              <w:rPr>
                <w:i/>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b/>
                <w:sz w:val="26"/>
                <w:szCs w:val="26"/>
              </w:rPr>
            </w:pPr>
            <w:r>
              <w:rPr>
                <w:rFonts w:ascii="Times New Roman" w:hAnsi="Times New Roman" w:cs="Times New Roman"/>
                <w:b/>
                <w:bCs/>
                <w:sz w:val="26"/>
                <w:szCs w:val="26"/>
              </w:rPr>
              <w:t xml:space="preserve">[Người kiểm soát]</w:t>
            </w:r>
            <w:r>
              <w:rPr>
                <w:b/>
                <w:sz w:val="26"/>
                <w:szCs w:val="26"/>
              </w:rPr>
            </w:r>
            <w:r>
              <w:rPr>
                <w:b/>
                <w:sz w:val="26"/>
                <w:szCs w:val="26"/>
              </w:rPr>
            </w:r>
          </w:p>
        </w:tc>
      </w:tr>
    </w:tbl>
    <w:p>
      <w:pPr>
        <w:pBdr/>
        <w:tabs>
          <w:tab w:val="center" w:leader="none" w:pos="7200"/>
        </w:tabs>
        <w:spacing w:line="276" w:lineRule="auto"/>
        <w:ind/>
        <w:jc w:val="both"/>
        <w:rPr>
          <w:rFonts w:eastAsia="Calibri"/>
          <w:b/>
          <w:color w:val="000000"/>
          <w:sz w:val="26"/>
          <w:szCs w:val="26"/>
        </w:rPr>
      </w:pPr>
      <w:r>
        <w:rPr>
          <w:rFonts w:eastAsia="Calibri"/>
          <w:b/>
          <w:color w:val="000000"/>
          <w:sz w:val="26"/>
          <w:szCs w:val="26"/>
        </w:rPr>
      </w:r>
      <w:r>
        <w:rPr>
          <w:rFonts w:eastAsia="Calibri"/>
          <w:b/>
          <w:color w:val="000000"/>
          <w:sz w:val="26"/>
          <w:szCs w:val="26"/>
        </w:rPr>
      </w:r>
      <w:r>
        <w:rPr>
          <w:rFonts w:eastAsia="Calibri"/>
          <w:b/>
          <w:color w:val="000000"/>
          <w:sz w:val="26"/>
          <w:szCs w:val="26"/>
        </w:rPr>
      </w:r>
    </w:p>
    <w:p>
      <w:pPr>
        <w:pBdr/>
        <w:tabs>
          <w:tab w:val="center" w:leader="none" w:pos="7200"/>
        </w:tabs>
        <w:spacing/>
        <w:ind w:firstLine="567"/>
        <w:jc w:val="both"/>
        <w:rPr>
          <w:b/>
          <w:bCs/>
          <w:iCs/>
          <w:sz w:val="26"/>
          <w:szCs w:val="28"/>
        </w:rPr>
      </w:pPr>
      <w:r>
        <w:rPr>
          <w:rFonts w:ascii="Times New Roman" w:hAnsi="Times New Roman" w:cs="Times New Roman"/>
          <w:b/>
          <w:bCs/>
          <w:sz w:val="26"/>
          <w:szCs w:val="26"/>
        </w:rPr>
        <w:t xml:space="preserve">Phần C: Ý KIẾN CỦA CHỦ TỊCH HỘI ĐỒNG TÍN DỤNG</w:t>
      </w:r>
      <w:r>
        <w:rPr>
          <w:b/>
          <w:bCs/>
          <w:iCs/>
          <w:sz w:val="26"/>
          <w:szCs w:val="28"/>
        </w:rPr>
      </w:r>
      <w:r>
        <w:rPr>
          <w:b/>
          <w:bCs/>
          <w:iCs/>
          <w:sz w:val="26"/>
          <w:szCs w:val="28"/>
        </w:rPr>
      </w:r>
    </w:p>
    <w:p>
      <w:pPr>
        <w:pBdr/>
        <w:shd w:val="clear" w:color="auto" w:fill="ffffff"/>
        <w:tabs>
          <w:tab w:val="left" w:leader="none" w:pos="180"/>
        </w:tabs>
        <w:spacing/>
        <w:ind/>
        <w:jc w:val="both"/>
        <w:rPr>
          <w:rFonts w:eastAsia="Calibri"/>
          <w:bCs/>
          <w:sz w:val="26"/>
          <w:szCs w:val="28"/>
        </w:rPr>
      </w:pPr>
      <w:r>
        <w:rPr>
          <w:sz w:val="26"/>
          <w:szCs w:val="26"/>
        </w:rPr>
        <w:t xml:space="preserve">- Không thông qua hội đồng tín dụng</w:t>
      </w:r>
      <w:r>
        <w:rPr>
          <w:rFonts w:eastAsia="Calibri"/>
          <w:bCs/>
          <w:sz w:val="26"/>
          <w:szCs w:val="28"/>
        </w:rPr>
      </w:r>
      <w:r>
        <w:rPr>
          <w:rFonts w:eastAsia="Calibri"/>
          <w:bCs/>
          <w:sz w:val="26"/>
          <w:szCs w:val="28"/>
        </w:rPr>
      </w:r>
    </w:p>
    <w:p>
      <w:pPr>
        <w:pBdr/>
        <w:shd w:val="clear" w:color="auto" w:fill="ffffff"/>
        <w:tabs>
          <w:tab w:val="left" w:leader="none" w:pos="180"/>
        </w:tabs>
        <w:spacing/>
        <w:ind/>
        <w:jc w:val="both"/>
        <w:rPr>
          <w:rFonts w:eastAsia="Calibri"/>
          <w:bCs/>
          <w:sz w:val="26"/>
          <w:szCs w:val="28"/>
        </w:rPr>
      </w:pPr>
      <w:r>
        <w:rPr>
          <w:sz w:val="26"/>
          <w:szCs w:val="26"/>
          <w:highlight w:val="yellow"/>
        </w:rPr>
        <w:t xml:space="preserve">Trường hợp </w:t>
      </w:r>
      <w:r>
        <w:rPr>
          <w:b/>
          <w:bCs/>
          <w:sz w:val="26"/>
          <w:szCs w:val="26"/>
          <w:highlight w:val="yellow"/>
        </w:rPr>
        <w:t xml:space="preserve">không</w:t>
      </w:r>
      <w:r>
        <w:rPr>
          <w:sz w:val="26"/>
          <w:szCs w:val="26"/>
          <w:highlight w:val="yellow"/>
        </w:rPr>
        <w:t xml:space="preserve"> thông qua Hội đồng tín dụng thì xóa hết phần dưới đây. Nếu </w:t>
      </w:r>
      <w:r>
        <w:rPr>
          <w:b/>
          <w:bCs/>
          <w:sz w:val="26"/>
          <w:szCs w:val="26"/>
          <w:highlight w:val="yellow"/>
        </w:rPr>
        <w:t xml:space="preserve">có</w:t>
      </w:r>
      <w:r>
        <w:rPr>
          <w:sz w:val="26"/>
          <w:szCs w:val="26"/>
          <w:highlight w:val="yellow"/>
        </w:rPr>
        <w:t xml:space="preserve"> thông qua Hội đồng tín dụng thì trình bày như dưới đây (xóa dòng phía trên và xóa dòng hướng dẫn này trước khi in)</w:t>
      </w:r>
      <w:r>
        <w:rPr>
          <w:rFonts w:eastAsia="Calibri"/>
          <w:bCs/>
          <w:sz w:val="26"/>
          <w:szCs w:val="28"/>
        </w:rPr>
      </w:r>
      <w:r>
        <w:rPr>
          <w:rFonts w:eastAsia="Calibri"/>
          <w:bCs/>
          <w:sz w:val="26"/>
          <w:szCs w:val="28"/>
        </w:rPr>
      </w:r>
    </w:p>
    <w:p>
      <w:pPr>
        <w:pBdr/>
        <w:spacing/>
        <w:ind/>
        <w:jc w:val="both"/>
        <w:rPr>
          <w:rFonts w:eastAsia="Arial"/>
          <w:sz w:val="26"/>
          <w:szCs w:val="28"/>
        </w:rPr>
      </w:pPr>
      <w:r>
        <w:rPr>
          <w:sz w:val="26"/>
          <w:szCs w:val="26"/>
        </w:rPr>
        <w:t xml:space="preserve">- Chuyển hồ sơ cho các thành viên Hội đồng tín dụng</w:t>
      </w:r>
      <w:r>
        <w:rPr>
          <w:rFonts w:eastAsia="Arial"/>
          <w:sz w:val="26"/>
          <w:szCs w:val="28"/>
        </w:rPr>
      </w:r>
      <w:r>
        <w:rPr>
          <w:rFonts w:eastAsia="Arial"/>
          <w:sz w:val="26"/>
          <w:szCs w:val="28"/>
        </w:rPr>
      </w:r>
    </w:p>
    <w:p>
      <w:pPr>
        <w:pBdr/>
        <w:shd w:val="clear" w:color="auto" w:fill="ffffff"/>
        <w:tabs>
          <w:tab w:val="right" w:leader="dot" w:pos="9639"/>
        </w:tabs>
        <w:spacing/>
        <w:ind/>
        <w:jc w:val="both"/>
        <w:rPr>
          <w:rFonts w:eastAsia="Arial"/>
          <w:sz w:val="26"/>
          <w:szCs w:val="28"/>
        </w:rPr>
      </w:pPr>
      <w:r>
        <w:rPr>
          <w:sz w:val="26"/>
          <w:szCs w:val="26"/>
        </w:rPr>
        <w:t xml:space="preserve">- Hình thức họp và thời gian họp: </w:t>
      </w:r>
      <w:r>
        <w:tab/>
      </w:r>
      <w:r>
        <w:rPr>
          <w:rFonts w:eastAsia="Arial"/>
          <w:sz w:val="26"/>
          <w:szCs w:val="28"/>
        </w:rPr>
      </w:r>
      <w:r>
        <w:rPr>
          <w:rFonts w:eastAsia="Arial"/>
          <w:sz w:val="26"/>
          <w:szCs w:val="28"/>
        </w:rPr>
      </w:r>
    </w:p>
    <w:p>
      <w:pPr>
        <w:pBdr/>
        <w:shd w:val="clear" w:color="auto" w:fill="ffffff"/>
        <w:tabs>
          <w:tab w:val="right" w:leader="dot" w:pos="9639"/>
        </w:tabs>
        <w:spacing/>
        <w:ind/>
        <w:jc w:val="both"/>
        <w:rPr>
          <w:rFonts w:eastAsia="Arial"/>
          <w:sz w:val="26"/>
          <w:szCs w:val="28"/>
        </w:rPr>
      </w:pPr>
      <w:r>
        <w:rPr>
          <w:sz w:val="26"/>
          <w:szCs w:val="26"/>
        </w:rPr>
        <w:t xml:space="preserve">- Thông tin khác (nếu có): </w:t>
      </w:r>
      <w:r>
        <w:tab/>
      </w:r>
      <w:r>
        <w:rPr>
          <w:rFonts w:eastAsia="Arial"/>
          <w:sz w:val="26"/>
          <w:szCs w:val="28"/>
        </w:rPr>
      </w:r>
      <w:r>
        <w:rPr>
          <w:rFonts w:eastAsia="Arial"/>
          <w:sz w:val="26"/>
          <w:szCs w:val="28"/>
        </w:rPr>
      </w:r>
    </w:p>
    <w:tbl>
      <w:tblPr>
        <w:tblStyle w:val="1053"/>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spacing/>
              <w:ind/>
              <w:jc w:val="center"/>
              <w:rPr>
                <w:rFonts w:eastAsia="Calibri"/>
                <w:i/>
                <w:sz w:val="26"/>
                <w:szCs w:val="26"/>
              </w:rPr>
            </w:pPr>
            <w:r>
              <w:rPr>
                <w:i/>
                <w:iCs/>
                <w:sz w:val="26"/>
                <w:szCs w:val="26"/>
              </w:rPr>
              <w:t xml:space="preserve">Ngày [Ngày] tháng [Tháng] năm [Năm]</w:t>
            </w:r>
            <w:r>
              <w:rPr>
                <w:rFonts w:eastAsia="Calibri"/>
                <w:i/>
                <w:sz w:val="26"/>
                <w:szCs w:val="26"/>
              </w:rPr>
            </w:r>
            <w:r>
              <w:rPr>
                <w:rFonts w:eastAsia="Calibri"/>
                <w:i/>
                <w:sz w:val="26"/>
                <w:szCs w:val="26"/>
              </w:rPr>
            </w:r>
          </w:p>
          <w:p>
            <w:pPr>
              <w:pBdr/>
              <w:spacing/>
              <w:ind/>
              <w:jc w:val="center"/>
              <w:rPr>
                <w:b/>
                <w:sz w:val="26"/>
                <w:szCs w:val="26"/>
              </w:rPr>
            </w:pPr>
            <w:r>
              <w:rPr>
                <w:rFonts w:ascii="Times New Roman" w:hAnsi="Times New Roman" w:cs="Times New Roman"/>
                <w:b/>
                <w:bCs/>
                <w:sz w:val="26"/>
                <w:szCs w:val="26"/>
              </w:rPr>
              <w:t xml:space="preserve">CHỦ TỊCH HĐTD</w:t>
            </w:r>
            <w:r>
              <w:rPr>
                <w:b/>
                <w:sz w:val="26"/>
                <w:szCs w:val="26"/>
              </w:rPr>
            </w:r>
            <w:r>
              <w:rPr>
                <w:b/>
                <w:sz w:val="26"/>
                <w:szCs w:val="26"/>
              </w:rPr>
            </w:r>
          </w:p>
          <w:p>
            <w:pPr>
              <w:pBdr/>
              <w:spacing/>
              <w:ind/>
              <w:jc w:val="center"/>
              <w:rPr>
                <w:i/>
                <w:sz w:val="26"/>
                <w:szCs w:val="26"/>
              </w:rPr>
            </w:pPr>
            <w:r>
              <w:rPr>
                <w:rFonts w:ascii="Times New Roman" w:hAnsi="Times New Roman" w:cs="Times New Roman"/>
                <w:i/>
                <w:iCs/>
                <w:sz w:val="26"/>
                <w:szCs w:val="26"/>
              </w:rPr>
              <w:t xml:space="preserve">(Ký, ghi rõ họ tên)</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tc>
      </w:tr>
    </w:tbl>
    <w:p>
      <w:pPr>
        <w:pBdr/>
        <w:shd w:val="clear" w:color="auto" w:fill="ffffff"/>
        <w:tabs>
          <w:tab w:val="left" w:leader="none" w:pos="180"/>
        </w:tabs>
        <w:spacing/>
        <w:ind w:firstLine="567"/>
        <w:jc w:val="both"/>
        <w:rPr>
          <w:b/>
          <w:sz w:val="26"/>
          <w:szCs w:val="28"/>
        </w:rPr>
      </w:pPr>
      <w:r>
        <w:rPr>
          <w:rFonts w:ascii="Times New Roman" w:hAnsi="Times New Roman" w:cs="Times New Roman"/>
          <w:b/>
          <w:bCs/>
          <w:sz w:val="26"/>
          <w:szCs w:val="26"/>
        </w:rPr>
        <w:t xml:space="preserve">Phần D. THẨM ĐỊNH VÀ ĐỀ XUẤT CHO VAY CỦA NGƯỜI THẨM ĐỊNH LẠI</w:t>
      </w:r>
      <w:r>
        <w:rPr>
          <w:b/>
          <w:sz w:val="26"/>
          <w:szCs w:val="28"/>
        </w:rPr>
      </w:r>
      <w:r>
        <w:rPr>
          <w:b/>
          <w:sz w:val="26"/>
          <w:szCs w:val="28"/>
        </w:rPr>
      </w:r>
    </w:p>
    <w:p>
      <w:pPr>
        <w:pBdr/>
        <w:shd w:val="clear" w:color="auto" w:fill="ffffff"/>
        <w:tabs>
          <w:tab w:val="left" w:leader="none" w:pos="180"/>
        </w:tabs>
        <w:spacing/>
        <w:ind w:firstLine="567"/>
        <w:jc w:val="both"/>
        <w:rPr>
          <w:sz w:val="26"/>
          <w:szCs w:val="28"/>
        </w:rPr>
      </w:pPr>
      <w:r>
        <w:rPr>
          <w:rFonts w:ascii="Times New Roman" w:hAnsi="Times New Roman" w:cs="Times New Roman"/>
          <w:sz w:val="26"/>
          <w:szCs w:val="26"/>
        </w:rPr>
        <w:t xml:space="preserve">- Không có</w:t>
      </w:r>
      <w:r>
        <w:rPr>
          <w:sz w:val="26"/>
          <w:szCs w:val="28"/>
        </w:rPr>
      </w:r>
      <w:r>
        <w:rPr>
          <w:sz w:val="26"/>
          <w:szCs w:val="28"/>
        </w:rPr>
      </w:r>
    </w:p>
    <w:p>
      <w:pPr>
        <w:pBdr/>
        <w:spacing/>
        <w:ind w:firstLine="567"/>
        <w:jc w:val="both"/>
        <w:rPr>
          <w:b/>
          <w:sz w:val="26"/>
          <w:szCs w:val="28"/>
        </w:rPr>
      </w:pPr>
      <w:r>
        <w:rPr>
          <w:b/>
          <w:sz w:val="26"/>
          <w:szCs w:val="28"/>
        </w:rPr>
      </w:r>
      <w:r>
        <w:rPr>
          <w:b/>
          <w:sz w:val="26"/>
          <w:szCs w:val="28"/>
        </w:rPr>
      </w:r>
      <w:r>
        <w:rPr>
          <w:b/>
          <w:sz w:val="26"/>
          <w:szCs w:val="28"/>
        </w:rPr>
      </w:r>
    </w:p>
    <w:p>
      <w:pPr>
        <w:pBdr/>
        <w:spacing/>
        <w:ind w:firstLine="567"/>
        <w:jc w:val="both"/>
        <w:rPr>
          <w:b/>
          <w:sz w:val="26"/>
          <w:szCs w:val="28"/>
        </w:rPr>
      </w:pPr>
      <w:r>
        <w:rPr>
          <w:rFonts w:ascii="Times New Roman" w:hAnsi="Times New Roman" w:cs="Times New Roman"/>
          <w:b/>
          <w:bCs/>
          <w:sz w:val="26"/>
          <w:szCs w:val="26"/>
        </w:rPr>
        <w:t xml:space="preserve">Phần E: Ý KIẾN CỦA NGƯỜI QUYẾT ĐỊNH CHO VAY</w:t>
      </w:r>
      <w:r>
        <w:rPr>
          <w:b/>
          <w:sz w:val="26"/>
          <w:szCs w:val="28"/>
        </w:rPr>
      </w:r>
      <w:r>
        <w:rPr>
          <w:b/>
          <w:sz w:val="26"/>
          <w:szCs w:val="28"/>
        </w:rPr>
      </w:r>
    </w:p>
    <w:p>
      <w:pPr>
        <w:pBdr/>
        <w:tabs>
          <w:tab w:val="left" w:leader="none" w:pos="700"/>
          <w:tab w:val="left" w:leader="none" w:pos="990"/>
          <w:tab w:val="left" w:leader="none" w:pos="1170"/>
        </w:tabs>
        <w:spacing/>
        <w:ind w:firstLine="567"/>
        <w:jc w:val="both"/>
        <w:rPr>
          <w:sz w:val="26"/>
          <w:szCs w:val="28"/>
        </w:rPr>
      </w:pPr>
      <w:r>
        <w:rPr>
          <w:rFonts w:ascii="Times New Roman" w:hAnsi="Times New Roman" w:cs="Times New Roman"/>
          <w:sz w:val="26"/>
          <w:szCs w:val="26"/>
        </w:rPr>
        <w:t xml:space="preserve">Căn cứ hồ sơ vay vốn, đề xuất của Người quan hệ khách hàng, Kết quả thẩm định và đề xuất cho vay của Người thẩm định, Người thẩm định lại (nếu có), Biên bản họp/Bảng tổng hợp ý kiến Hội đồng tín dụng (nếu có), Người quyết định cho vay quyết định như sau:</w:t>
      </w:r>
      <w:r>
        <w:rPr>
          <w:sz w:val="26"/>
          <w:szCs w:val="28"/>
        </w:rPr>
      </w:r>
      <w:r>
        <w:rPr>
          <w:sz w:val="26"/>
          <w:szCs w:val="28"/>
        </w:rPr>
      </w:r>
    </w:p>
    <w:p>
      <w:pPr>
        <w:pBdr/>
        <w:tabs>
          <w:tab w:val="left" w:leader="none" w:pos="720"/>
        </w:tabs>
        <w:spacing/>
        <w:ind w:firstLine="567"/>
        <w:jc w:val="both"/>
        <w:rPr>
          <w:sz w:val="26"/>
          <w:szCs w:val="28"/>
        </w:rPr>
      </w:pPr>
      <w:r>
        <w:rPr>
          <w:rFonts w:ascii="Times New Roman" w:hAnsi="Times New Roman" w:cs="Times New Roman"/>
          <w:sz w:val="26"/>
          <w:szCs w:val="26"/>
        </w:rPr>
        <w:t xml:space="preserve">1. Đồng ý cho vay với nội dung như sau: </w:t>
      </w:r>
      <w:r>
        <w:rPr>
          <w:sz w:val="26"/>
          <w:szCs w:val="28"/>
        </w:rPr>
      </w:r>
      <w:r>
        <w:rPr>
          <w:sz w:val="26"/>
          <w:szCs w:val="28"/>
        </w:rPr>
      </w:r>
    </w:p>
    <w:tbl>
      <w:tblPr>
        <w:tblStyle w:val="1052"/>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TT</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Nội dung</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Chi tiết</w:t>
            </w:r>
            <w:r>
              <w:rPr>
                <w:rFonts w:eastAsia="Arial"/>
                <w:b/>
                <w:bCs/>
                <w:sz w:val="26"/>
                <w:szCs w:val="28"/>
              </w:rPr>
            </w:r>
            <w:r>
              <w:rPr>
                <w:rFonts w:eastAsia="Arial"/>
                <w:b/>
                <w:bCs/>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2</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Tổng mức cấp tín dụng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Số tiền cho vay tối đa: [Tổng nhu cầu cấp TD] đồng </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Bằng chữ: [TNCCTD bằng chữ]</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3</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4</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5</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sử dụng vốn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6</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gian cho vay/Thời hạn duy trì hạn mức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hạn vay] tháng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7</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Kỳ hạn trả nợ gốc/lãi</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Trả gốc: [Định kỳ trả gốc]</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Trả lãi: [Định kỳ trả lãi]</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8</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cho vay, phí…</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vay được quy định cụ thể theo từng lần nhận nợ</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9</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Bảo đảm tiền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Mức cho vay có bảo đảm bằng tài sản: [Tỷ lệ % bảo đảm]%</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10</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Các nội dung khác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[Bổ sung BCĐX cho vay]</w:t>
            </w:r>
            <w:r>
              <w:rPr>
                <w:rFonts w:eastAsia="Arial"/>
                <w:sz w:val="26"/>
                <w:szCs w:val="28"/>
              </w:rPr>
            </w:r>
            <w:r>
              <w:rPr>
                <w:rFonts w:eastAsia="Arial"/>
                <w:sz w:val="26"/>
                <w:szCs w:val="28"/>
              </w:rPr>
            </w:r>
          </w:p>
        </w:tc>
      </w:tr>
    </w:tbl>
    <w:p>
      <w:pPr>
        <w:pBdr/>
        <w:tabs>
          <w:tab w:val="left" w:leader="none" w:pos="720"/>
        </w:tabs>
        <w:spacing/>
        <w:ind w:firstLine="567"/>
        <w:jc w:val="both"/>
        <w:rPr>
          <w:sz w:val="26"/>
          <w:szCs w:val="28"/>
        </w:rPr>
      </w:pPr>
      <w:r>
        <w:rPr>
          <w:sz w:val="26"/>
          <w:szCs w:val="28"/>
        </w:rPr>
      </w:r>
      <w:r>
        <w:rPr>
          <w:sz w:val="26"/>
          <w:szCs w:val="28"/>
        </w:rPr>
      </w:r>
      <w:r>
        <w:rPr>
          <w:sz w:val="26"/>
          <w:szCs w:val="28"/>
        </w:rPr>
      </w:r>
    </w:p>
    <w:tbl>
      <w:tblPr>
        <w:tblStyle w:val="1050"/>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line="264" w:lineRule="auto"/>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tabs>
                <w:tab w:val="left" w:leader="none" w:pos="180"/>
              </w:tabs>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tabs>
                <w:tab w:val="left" w:leader="none" w:pos="180"/>
              </w:tabs>
              <w:spacing/>
              <w:ind/>
              <w:jc w:val="center"/>
              <w:rPr>
                <w:b/>
                <w:i/>
                <w:sz w:val="26"/>
                <w:szCs w:val="26"/>
              </w:rPr>
            </w:pPr>
            <w:r>
              <w:rPr>
                <w:rFonts w:ascii="Times New Roman" w:hAnsi="Times New Roman" w:cs="Times New Roman"/>
                <w:b/>
                <w:bCs/>
                <w:i/>
                <w:iCs/>
                <w:sz w:val="26"/>
                <w:szCs w:val="26"/>
              </w:rPr>
              <w:t xml:space="preserve">NGƯỜI QUYẾT ĐỊNH CHO VAY</w:t>
            </w:r>
            <w:r>
              <w:rPr>
                <w:b/>
                <w:i/>
                <w:sz w:val="26"/>
                <w:szCs w:val="26"/>
              </w:rPr>
            </w:r>
            <w:r>
              <w:rPr>
                <w:b/>
                <w:i/>
                <w:sz w:val="26"/>
                <w:szCs w:val="26"/>
              </w:rPr>
            </w:r>
          </w:p>
          <w:p>
            <w:pPr>
              <w:pBdr/>
              <w:tabs>
                <w:tab w:val="left" w:leader="none" w:pos="180"/>
              </w:tabs>
              <w:spacing/>
              <w:ind/>
              <w:jc w:val="center"/>
              <w:rPr>
                <w:b/>
                <w:szCs w:val="26"/>
              </w:rPr>
            </w:pPr>
            <w:r>
              <w:rPr>
                <w:rFonts w:ascii="Times New Roman" w:hAnsi="Times New Roman" w:cs="Times New Roman"/>
                <w:b/>
                <w:bCs/>
                <w:i/>
                <w:iCs/>
                <w:sz w:val="24"/>
                <w:szCs w:val="24"/>
              </w:rPr>
              <w:t xml:space="preserve">(Ký, ghi rõ họ tên, đóng dấu)</w:t>
            </w:r>
            <w:r>
              <w:rPr>
                <w:b/>
                <w:szCs w:val="26"/>
              </w:rPr>
            </w:r>
            <w:r>
              <w:rPr>
                <w:b/>
                <w:szCs w:val="26"/>
              </w:rPr>
            </w:r>
          </w:p>
        </w:tc>
      </w:tr>
    </w:tbl>
    <w:p>
      <w:pPr>
        <w:pBdr/>
        <w:tabs>
          <w:tab w:val="center" w:leader="none" w:pos="7200"/>
        </w:tabs>
        <w:spacing w:line="276" w:lineRule="auto"/>
        <w:ind/>
        <w:jc w:val="both"/>
        <w:outlineLvl w:val="3"/>
        <w:rPr>
          <w:rFonts w:eastAsia="Calibri"/>
          <w:color w:val="000000"/>
          <w:sz w:val="26"/>
          <w:szCs w:val="26"/>
        </w:rPr>
      </w:pPr>
      <w:r>
        <w:rPr>
          <w:rFonts w:eastAsia="Calibri"/>
          <w:color w:val="000000"/>
          <w:sz w:val="26"/>
          <w:szCs w:val="26"/>
        </w:rPr>
      </w:r>
      <w:r>
        <w:rPr>
          <w:rFonts w:eastAsia="Calibri"/>
          <w:color w:val="000000"/>
          <w:sz w:val="26"/>
          <w:szCs w:val="26"/>
        </w:rPr>
      </w:r>
      <w:r>
        <w:rPr>
          <w:rFonts w:eastAsia="Calibri"/>
          <w:color w:val="000000"/>
          <w:sz w:val="26"/>
          <w:szCs w:val="26"/>
        </w:rPr>
      </w:r>
    </w:p>
    <w:sectPr>
      <w:headerReference w:type="default" r:id="rId9"/>
      <w:headerReference w:type="first" r:id="rId10"/>
      <w:footerReference w:type="default" r:id="rId11"/>
      <w:footnotePr/>
      <w:endnotePr/>
      <w:type w:val="nextPage"/>
      <w:pgSz w:h="16840" w:orient="portrait" w:w="11907"/>
      <w:pgMar w:top="1134" w:right="851" w:bottom="1134" w:left="1418" w:header="567"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imSun">
    <w:panose1 w:val="02020603020101020101"/>
  </w:font>
  <w:font w:name="Symbol">
    <w:panose1 w:val="05010000000000000000"/>
  </w:font>
  <w:font w:name="Wingdings">
    <w:panose1 w:val="05010000000000000000"/>
  </w:font>
  <w:font w:name="VNI-Times">
    <w:panose1 w:val="020B0603030804020204"/>
  </w:font>
  <w:font w:name=".VnArial Narrow">
    <w:panose1 w:val="020B0603030804020204"/>
  </w:font>
  <w:font w:name="Verdana">
    <w:panose1 w:val="020B0604030504040204"/>
  </w:font>
  <w:font w:name="PMingLiU">
    <w:panose1 w:val="02020603020101020101"/>
  </w:font>
  <w:font w:name="Tahoma">
    <w:panose1 w:val="020B0604030504040204"/>
  </w:font>
  <w:font w:name="Courier New">
    <w:panose1 w:val="02070309020205020404"/>
  </w:font>
  <w:font w:name=".VnTime">
    <w:panose1 w:val="020B0603030804020204"/>
  </w:font>
  <w:font w:name="Arial">
    <w:panose1 w:val="020B0604020202020204"/>
  </w:font>
  <w:font w:name=".VnTimeH">
    <w:panose1 w:val="020B060303080402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7"/>
      <w:pBdr/>
      <w:tabs>
        <w:tab w:val="clear" w:leader="none" w:pos="4320"/>
        <w:tab w:val="clear" w:leader="none" w:pos="8640"/>
      </w:tabs>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center"/>
      <w:rPr/>
    </w:pPr>
    <w:r>
      <w:rPr>
        <w:sz w:val="26"/>
      </w:rPr>
      <w:fldChar w:fldCharType="begin"/>
    </w:r>
    <w:r>
      <w:rPr>
        <w:sz w:val="26"/>
      </w:rPr>
      <w:instrText xml:space="preserve"> PAGE   \* MERGEFORMAT </w:instrText>
    </w:r>
    <w:r>
      <w:rPr>
        <w:sz w:val="26"/>
      </w:rPr>
      <w:fldChar w:fldCharType="separate"/>
    </w:r>
    <w:r>
      <w:rPr>
        <w:sz w:val="26"/>
      </w:rPr>
      <w:t xml:space="preserve">30</w:t>
    </w:r>
    <w:r>
      <w:rPr>
        <w:sz w:val="26"/>
      </w:rP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right"/>
      <w:rPr>
        <w:b/>
        <w:bCs/>
        <w:szCs w:val="26"/>
      </w:rPr>
    </w:pPr>
    <w:r>
      <w:rPr>
        <w:rFonts w:eastAsia="Calibri"/>
        <w:b/>
        <w:color w:val="000000"/>
        <w:szCs w:val="26"/>
      </w:rPr>
      <w:t xml:space="preserve">Mẫu số 02A/BCĐX-PN</w:t>
    </w:r>
    <w:r>
      <w:rPr>
        <w:b/>
        <w:bCs/>
        <w:szCs w:val="26"/>
      </w:rPr>
    </w:r>
    <w:r>
      <w:rPr>
        <w:b/>
        <w:bCs/>
        <w:szCs w:val="2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A5463B"/>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B7D5BCA"/>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1B6E5A"/>
    <w:lvl w:ilvl="0">
      <w:isLgl w:val="false"/>
      <w:lvlJc w:val="left"/>
      <w:lvlText w:val=""/>
      <w:numFmt w:val="bullet"/>
      <w:pPr>
        <w:pBdr/>
        <w:tabs>
          <w:tab w:val="num" w:leader="none" w:pos="2007"/>
        </w:tabs>
        <w:spacing/>
        <w:ind w:hanging="360" w:left="2007"/>
      </w:pPr>
      <w:rPr>
        <w:rFonts w:hint="default" w:ascii="Wingdings" w:hAnsi="Wingdings"/>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3">
    <w:nsid w:val="1AD760D7"/>
    <w:lvl w:ilvl="0">
      <w:isLgl w:val="false"/>
      <w:lvlJc w:val="left"/>
      <w:lvlText w:val="+"/>
      <w:numFmt w:val="bullet"/>
      <w:pPr>
        <w:pBdr/>
        <w:spacing/>
        <w:ind w:hanging="360" w:left="1287"/>
      </w:pPr>
      <w:rPr>
        <w:rFonts w:hint="default" w:ascii="Times New Roman" w:hAnsi="Times New Roman" w:eastAsia="Calibri" w:cs="Times New Roman"/>
      </w:rPr>
      <w:start w:val="0"/>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4">
    <w:nsid w:val="1DB31304"/>
    <w:lvl w:ilvl="0">
      <w:isLgl w:val="false"/>
      <w:lvlJc w:val="left"/>
      <w:lvlText w:val="%1."/>
      <w:numFmt w:val="decimal"/>
      <w:pPr>
        <w:pBdr/>
        <w:spacing/>
        <w:ind w:hanging="360" w:left="930"/>
      </w:pPr>
      <w:rPr>
        <w:rFonts w:hint="default"/>
      </w:rPr>
      <w:start w:val="5"/>
      <w:suff w:val="tab"/>
    </w:lvl>
    <w:lvl w:ilvl="1">
      <w:isLgl w:val="true"/>
      <w:lvlJc w:val="left"/>
      <w:lvlText w:val="%1.%2."/>
      <w:numFmt w:val="decimal"/>
      <w:pPr>
        <w:pBdr/>
        <w:spacing/>
        <w:ind w:hanging="720" w:left="1290"/>
      </w:pPr>
      <w:rPr>
        <w:rFonts w:hint="default"/>
      </w:rPr>
      <w:start w:val="1"/>
      <w:suff w:val="tab"/>
    </w:lvl>
    <w:lvl w:ilvl="2">
      <w:isLgl w:val="true"/>
      <w:lvlJc w:val="left"/>
      <w:lvlText w:val="%1.%2.%3."/>
      <w:numFmt w:val="decimal"/>
      <w:pPr>
        <w:pBdr/>
        <w:spacing/>
        <w:ind w:hanging="720" w:left="1290"/>
      </w:pPr>
      <w:rPr>
        <w:rFonts w:hint="default"/>
      </w:rPr>
      <w:start w:val="1"/>
      <w:suff w:val="tab"/>
    </w:lvl>
    <w:lvl w:ilvl="3">
      <w:isLgl w:val="true"/>
      <w:lvlJc w:val="left"/>
      <w:lvlText w:val="%1.%2.%3.%4."/>
      <w:numFmt w:val="decimal"/>
      <w:pPr>
        <w:pBdr/>
        <w:spacing/>
        <w:ind w:hanging="1080" w:left="1650"/>
      </w:pPr>
      <w:rPr>
        <w:rFonts w:hint="default"/>
      </w:rPr>
      <w:start w:val="1"/>
      <w:suff w:val="tab"/>
    </w:lvl>
    <w:lvl w:ilvl="4">
      <w:isLgl w:val="true"/>
      <w:lvlJc w:val="left"/>
      <w:lvlText w:val="%1.%2.%3.%4.%5."/>
      <w:numFmt w:val="decimal"/>
      <w:pPr>
        <w:pBdr/>
        <w:spacing/>
        <w:ind w:hanging="1080" w:left="1650"/>
      </w:pPr>
      <w:rPr>
        <w:rFonts w:hint="default"/>
      </w:rPr>
      <w:start w:val="1"/>
      <w:suff w:val="tab"/>
    </w:lvl>
    <w:lvl w:ilvl="5">
      <w:isLgl w:val="true"/>
      <w:lvlJc w:val="left"/>
      <w:lvlText w:val="%1.%2.%3.%4.%5.%6."/>
      <w:numFmt w:val="decimal"/>
      <w:pPr>
        <w:pBdr/>
        <w:spacing/>
        <w:ind w:hanging="1440" w:left="2010"/>
      </w:pPr>
      <w:rPr>
        <w:rFonts w:hint="default"/>
      </w:rPr>
      <w:start w:val="1"/>
      <w:suff w:val="tab"/>
    </w:lvl>
    <w:lvl w:ilvl="6">
      <w:isLgl w:val="true"/>
      <w:lvlJc w:val="left"/>
      <w:lvlText w:val="%1.%2.%3.%4.%5.%6.%7."/>
      <w:numFmt w:val="decimal"/>
      <w:pPr>
        <w:pBdr/>
        <w:spacing/>
        <w:ind w:hanging="1440" w:left="2010"/>
      </w:pPr>
      <w:rPr>
        <w:rFonts w:hint="default"/>
      </w:rPr>
      <w:start w:val="1"/>
      <w:suff w:val="tab"/>
    </w:lvl>
    <w:lvl w:ilvl="7">
      <w:isLgl w:val="true"/>
      <w:lvlJc w:val="left"/>
      <w:lvlText w:val="%1.%2.%3.%4.%5.%6.%7.%8."/>
      <w:numFmt w:val="decimal"/>
      <w:pPr>
        <w:pBdr/>
        <w:spacing/>
        <w:ind w:hanging="1800" w:left="2370"/>
      </w:pPr>
      <w:rPr>
        <w:rFonts w:hint="default"/>
      </w:rPr>
      <w:start w:val="1"/>
      <w:suff w:val="tab"/>
    </w:lvl>
    <w:lvl w:ilvl="8">
      <w:isLgl w:val="true"/>
      <w:lvlJc w:val="left"/>
      <w:lvlText w:val="%1.%2.%3.%4.%5.%6.%7.%8.%9."/>
      <w:numFmt w:val="decimal"/>
      <w:pPr>
        <w:pBdr/>
        <w:spacing/>
        <w:ind w:hanging="1800" w:left="2370"/>
      </w:pPr>
      <w:rPr>
        <w:rFonts w:hint="default"/>
      </w:rPr>
      <w:start w:val="1"/>
      <w:suff w:val="tab"/>
    </w:lvl>
  </w:abstractNum>
  <w:abstractNum w:abstractNumId="5">
    <w:nsid w:val="1E055F02"/>
    <w:lvl w:ilvl="0">
      <w:isLgl w:val="false"/>
      <w:lvlJc w:val="left"/>
      <w:lvlText w:val="-"/>
      <w:numFmt w:val="bullet"/>
      <w:pPr>
        <w:pBdr/>
        <w:spacing/>
        <w:ind w:hanging="360" w:left="1287"/>
      </w:pPr>
      <w:rPr>
        <w:rFonts w:hint="default" w:ascii="Times New Roman" w:hAnsi="Times New Roman" w:eastAsia="Times New Roman" w:cs="Times New Roman"/>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6">
    <w:nsid w:val="23496506"/>
    <w:lvl w:ilvl="0">
      <w:isLgl w:val="false"/>
      <w:lvlJc w:val="left"/>
      <w:lvlText w:val="%1)"/>
      <w:numFmt w:val="lowerLetter"/>
      <w:pPr>
        <w:pBdr/>
        <w:spacing/>
        <w:ind w:hanging="360" w:left="786"/>
      </w:pPr>
      <w:rPr>
        <w:rFonts w:hint="default"/>
        <w:b w:val="0"/>
      </w:rPr>
      <w:start w:val="1"/>
      <w:suff w:val="tab"/>
    </w:lvl>
    <w:lvl w:ilvl="1">
      <w:isLgl w:val="false"/>
      <w:lvlJc w:val="left"/>
      <w:lvlText w:val="%2."/>
      <w:numFmt w:val="lowerLetter"/>
      <w:pPr>
        <w:pBdr/>
        <w:spacing/>
        <w:ind w:hanging="360" w:left="1506"/>
      </w:pPr>
      <w:rPr/>
      <w:start w:val="1"/>
      <w:suff w:val="tab"/>
    </w:lvl>
    <w:lvl w:ilvl="2">
      <w:isLgl w:val="false"/>
      <w:lvlJc w:val="right"/>
      <w:lvlText w:val="%3."/>
      <w:numFmt w:val="lowerRoman"/>
      <w:pPr>
        <w:pBdr/>
        <w:spacing/>
        <w:ind w:hanging="180" w:left="2226"/>
      </w:pPr>
      <w:rPr/>
      <w:start w:val="1"/>
      <w:suff w:val="tab"/>
    </w:lvl>
    <w:lvl w:ilvl="3">
      <w:isLgl w:val="false"/>
      <w:lvlJc w:val="left"/>
      <w:lvlText w:val="%4."/>
      <w:numFmt w:val="decimal"/>
      <w:pPr>
        <w:pBdr/>
        <w:spacing/>
        <w:ind w:hanging="360" w:left="2946"/>
      </w:pPr>
      <w:rPr/>
      <w:start w:val="1"/>
      <w:suff w:val="tab"/>
    </w:lvl>
    <w:lvl w:ilvl="4">
      <w:isLgl w:val="false"/>
      <w:lvlJc w:val="left"/>
      <w:lvlText w:val="%5."/>
      <w:numFmt w:val="lowerLetter"/>
      <w:pPr>
        <w:pBdr/>
        <w:spacing/>
        <w:ind w:hanging="360" w:left="3666"/>
      </w:pPr>
      <w:rPr/>
      <w:start w:val="1"/>
      <w:suff w:val="tab"/>
    </w:lvl>
    <w:lvl w:ilvl="5">
      <w:isLgl w:val="false"/>
      <w:lvlJc w:val="right"/>
      <w:lvlText w:val="%6."/>
      <w:numFmt w:val="lowerRoman"/>
      <w:pPr>
        <w:pBdr/>
        <w:spacing/>
        <w:ind w:hanging="180" w:left="4386"/>
      </w:pPr>
      <w:rPr/>
      <w:start w:val="1"/>
      <w:suff w:val="tab"/>
    </w:lvl>
    <w:lvl w:ilvl="6">
      <w:isLgl w:val="false"/>
      <w:lvlJc w:val="left"/>
      <w:lvlText w:val="%7."/>
      <w:numFmt w:val="decimal"/>
      <w:pPr>
        <w:pBdr/>
        <w:spacing/>
        <w:ind w:hanging="360" w:left="5106"/>
      </w:pPr>
      <w:rPr/>
      <w:start w:val="1"/>
      <w:suff w:val="tab"/>
    </w:lvl>
    <w:lvl w:ilvl="7">
      <w:isLgl w:val="false"/>
      <w:lvlJc w:val="left"/>
      <w:lvlText w:val="%8."/>
      <w:numFmt w:val="lowerLetter"/>
      <w:pPr>
        <w:pBdr/>
        <w:spacing/>
        <w:ind w:hanging="360" w:left="5826"/>
      </w:pPr>
      <w:rPr/>
      <w:start w:val="1"/>
      <w:suff w:val="tab"/>
    </w:lvl>
    <w:lvl w:ilvl="8">
      <w:isLgl w:val="false"/>
      <w:lvlJc w:val="right"/>
      <w:lvlText w:val="%9."/>
      <w:numFmt w:val="lowerRoman"/>
      <w:pPr>
        <w:pBdr/>
        <w:spacing/>
        <w:ind w:hanging="180" w:left="6546"/>
      </w:pPr>
      <w:rPr/>
      <w:start w:val="1"/>
      <w:suff w:val="tab"/>
    </w:lvl>
  </w:abstractNum>
  <w:abstractNum w:abstractNumId="7">
    <w:nsid w:val="259167DA"/>
    <w:lvl w:ilvl="0">
      <w:isLgl w:val="false"/>
      <w:lvlJc w:val="left"/>
      <w:lvlText w:val="-"/>
      <w:numFmt w:val="bullet"/>
      <w:pPr>
        <w:pBdr/>
        <w:spacing/>
        <w:ind w:hanging="360" w:left="720"/>
      </w:pPr>
      <w:rPr>
        <w:rFonts w:hint="default" w:ascii="Times New Roman" w:hAnsi="Times New Roman" w:eastAsia="Arial" w:cs="Times New Roman"/>
      </w:rPr>
      <w:start w:val="2"/>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25A72BD5"/>
    <w:lvl w:ilvl="0">
      <w:isLgl w:val="false"/>
      <w:lvlJc w:val="left"/>
      <w:lvlText w:val="%1."/>
      <w:numFmt w:val="decimal"/>
      <w:pPr>
        <w:pBdr/>
        <w:spacing/>
        <w:ind w:hanging="360" w:left="810"/>
      </w:pPr>
      <w:rPr>
        <w:rFonts w:hint="default"/>
        <w:b/>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9">
    <w:nsid w:val="293B7B9A"/>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9D91E01"/>
    <w:lvl w:ilvl="0">
      <w:isLgl w:val="false"/>
      <w:lvlJc w:val="left"/>
      <w:lvlText w:val="-"/>
      <w:numFmt w:val="bullet"/>
      <w:pPr>
        <w:pBdr/>
        <w:spacing/>
        <w:ind w:hanging="360" w:left="99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710"/>
      </w:pPr>
      <w:rPr>
        <w:rFonts w:hint="default" w:ascii="Courier New" w:hAnsi="Courier New" w:cs="Courier New"/>
      </w:rPr>
      <w:start w:val="1"/>
      <w:suff w:val="tab"/>
    </w:lvl>
    <w:lvl w:ilvl="2">
      <w:isLgl w:val="false"/>
      <w:lvlJc w:val="left"/>
      <w:lvlText w:val=""/>
      <w:numFmt w:val="bullet"/>
      <w:pPr>
        <w:pBdr/>
        <w:spacing/>
        <w:ind w:hanging="360" w:left="2430"/>
      </w:pPr>
      <w:rPr>
        <w:rFonts w:hint="default" w:ascii="Wingdings" w:hAnsi="Wingdings"/>
      </w:rPr>
      <w:start w:val="1"/>
      <w:suff w:val="tab"/>
    </w:lvl>
    <w:lvl w:ilvl="3">
      <w:isLgl w:val="false"/>
      <w:lvlJc w:val="left"/>
      <w:lvlText w:val=""/>
      <w:numFmt w:val="bullet"/>
      <w:pPr>
        <w:pBdr/>
        <w:spacing/>
        <w:ind w:hanging="360" w:left="3150"/>
      </w:pPr>
      <w:rPr>
        <w:rFonts w:hint="default" w:ascii="Symbol" w:hAnsi="Symbol"/>
      </w:rPr>
      <w:start w:val="1"/>
      <w:suff w:val="tab"/>
    </w:lvl>
    <w:lvl w:ilvl="4">
      <w:isLgl w:val="false"/>
      <w:lvlJc w:val="left"/>
      <w:lvlText w:val="o"/>
      <w:numFmt w:val="bullet"/>
      <w:pPr>
        <w:pBdr/>
        <w:spacing/>
        <w:ind w:hanging="360" w:left="3870"/>
      </w:pPr>
      <w:rPr>
        <w:rFonts w:hint="default" w:ascii="Courier New" w:hAnsi="Courier New" w:cs="Courier New"/>
      </w:rPr>
      <w:start w:val="1"/>
      <w:suff w:val="tab"/>
    </w:lvl>
    <w:lvl w:ilvl="5">
      <w:isLgl w:val="false"/>
      <w:lvlJc w:val="left"/>
      <w:lvlText w:val=""/>
      <w:numFmt w:val="bullet"/>
      <w:pPr>
        <w:pBdr/>
        <w:spacing/>
        <w:ind w:hanging="360" w:left="4590"/>
      </w:pPr>
      <w:rPr>
        <w:rFonts w:hint="default" w:ascii="Wingdings" w:hAnsi="Wingdings"/>
      </w:rPr>
      <w:start w:val="1"/>
      <w:suff w:val="tab"/>
    </w:lvl>
    <w:lvl w:ilvl="6">
      <w:isLgl w:val="false"/>
      <w:lvlJc w:val="left"/>
      <w:lvlText w:val=""/>
      <w:numFmt w:val="bullet"/>
      <w:pPr>
        <w:pBdr/>
        <w:spacing/>
        <w:ind w:hanging="360" w:left="5310"/>
      </w:pPr>
      <w:rPr>
        <w:rFonts w:hint="default" w:ascii="Symbol" w:hAnsi="Symbol"/>
      </w:rPr>
      <w:start w:val="1"/>
      <w:suff w:val="tab"/>
    </w:lvl>
    <w:lvl w:ilvl="7">
      <w:isLgl w:val="false"/>
      <w:lvlJc w:val="left"/>
      <w:lvlText w:val="o"/>
      <w:numFmt w:val="bullet"/>
      <w:pPr>
        <w:pBdr/>
        <w:spacing/>
        <w:ind w:hanging="360" w:left="6030"/>
      </w:pPr>
      <w:rPr>
        <w:rFonts w:hint="default" w:ascii="Courier New" w:hAnsi="Courier New" w:cs="Courier New"/>
      </w:rPr>
      <w:start w:val="1"/>
      <w:suff w:val="tab"/>
    </w:lvl>
    <w:lvl w:ilvl="8">
      <w:isLgl w:val="false"/>
      <w:lvlJc w:val="left"/>
      <w:lvlText w:val=""/>
      <w:numFmt w:val="bullet"/>
      <w:pPr>
        <w:pBdr/>
        <w:spacing/>
        <w:ind w:hanging="360" w:left="6750"/>
      </w:pPr>
      <w:rPr>
        <w:rFonts w:hint="default" w:ascii="Wingdings" w:hAnsi="Wingdings"/>
      </w:rPr>
      <w:start w:val="1"/>
      <w:suff w:val="tab"/>
    </w:lvl>
  </w:abstractNum>
  <w:abstractNum w:abstractNumId="11">
    <w:nsid w:val="2F9767F5"/>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2">
    <w:nsid w:val="33C07C3B"/>
    <w:lvl w:ilvl="0">
      <w:isLgl w:val="false"/>
      <w:lvlJc w:val="left"/>
      <w:lvlText w:val="%1."/>
      <w:numFmt w:val="decimal"/>
      <w:pPr>
        <w:pBdr/>
        <w:spacing/>
        <w:ind w:hanging="360" w:left="1855"/>
      </w:pPr>
      <w:rPr>
        <w:rFonts w:hint="default"/>
      </w:rPr>
      <w:start w:val="1"/>
      <w:suff w:val="tab"/>
    </w:lvl>
    <w:lvl w:ilvl="1">
      <w:isLgl w:val="true"/>
      <w:lvlJc w:val="left"/>
      <w:lvlText w:val="%1.%2."/>
      <w:numFmt w:val="decimal"/>
      <w:pPr>
        <w:pBdr/>
        <w:spacing/>
        <w:ind w:hanging="720" w:left="1288"/>
      </w:pPr>
      <w:rPr>
        <w:rFonts w:hint="default"/>
        <w:i/>
      </w:rPr>
      <w:start w:val="1"/>
      <w:suff w:val="tab"/>
    </w:lvl>
    <w:lvl w:ilvl="2">
      <w:isLgl w:val="true"/>
      <w:lvlJc w:val="left"/>
      <w:lvlText w:val="%1.%2.%3."/>
      <w:numFmt w:val="decimal"/>
      <w:pPr>
        <w:pBdr/>
        <w:spacing/>
        <w:ind w:hanging="720" w:left="2215"/>
      </w:pPr>
      <w:rPr>
        <w:rFonts w:hint="default"/>
      </w:rPr>
      <w:start w:val="1"/>
      <w:suff w:val="tab"/>
    </w:lvl>
    <w:lvl w:ilvl="3">
      <w:isLgl w:val="true"/>
      <w:lvlJc w:val="left"/>
      <w:lvlText w:val="%1.%2.%3.%4."/>
      <w:numFmt w:val="decimal"/>
      <w:pPr>
        <w:pBdr/>
        <w:spacing/>
        <w:ind w:hanging="1080" w:left="2575"/>
      </w:pPr>
      <w:rPr>
        <w:rFonts w:hint="default"/>
      </w:rPr>
      <w:start w:val="1"/>
      <w:suff w:val="tab"/>
    </w:lvl>
    <w:lvl w:ilvl="4">
      <w:isLgl w:val="true"/>
      <w:lvlJc w:val="left"/>
      <w:lvlText w:val="%1.%2.%3.%4.%5."/>
      <w:numFmt w:val="decimal"/>
      <w:pPr>
        <w:pBdr/>
        <w:spacing/>
        <w:ind w:hanging="1080" w:left="2575"/>
      </w:pPr>
      <w:rPr>
        <w:rFonts w:hint="default"/>
      </w:rPr>
      <w:start w:val="1"/>
      <w:suff w:val="tab"/>
    </w:lvl>
    <w:lvl w:ilvl="5">
      <w:isLgl w:val="true"/>
      <w:lvlJc w:val="left"/>
      <w:lvlText w:val="%1.%2.%3.%4.%5.%6."/>
      <w:numFmt w:val="decimal"/>
      <w:pPr>
        <w:pBdr/>
        <w:spacing/>
        <w:ind w:hanging="1440" w:left="2935"/>
      </w:pPr>
      <w:rPr>
        <w:rFonts w:hint="default"/>
      </w:rPr>
      <w:start w:val="1"/>
      <w:suff w:val="tab"/>
    </w:lvl>
    <w:lvl w:ilvl="6">
      <w:isLgl w:val="true"/>
      <w:lvlJc w:val="left"/>
      <w:lvlText w:val="%1.%2.%3.%4.%5.%6.%7."/>
      <w:numFmt w:val="decimal"/>
      <w:pPr>
        <w:pBdr/>
        <w:spacing/>
        <w:ind w:hanging="1440" w:left="2935"/>
      </w:pPr>
      <w:rPr>
        <w:rFonts w:hint="default"/>
      </w:rPr>
      <w:start w:val="1"/>
      <w:suff w:val="tab"/>
    </w:lvl>
    <w:lvl w:ilvl="7">
      <w:isLgl w:val="true"/>
      <w:lvlJc w:val="left"/>
      <w:lvlText w:val="%1.%2.%3.%4.%5.%6.%7.%8."/>
      <w:numFmt w:val="decimal"/>
      <w:pPr>
        <w:pBdr/>
        <w:spacing/>
        <w:ind w:hanging="1800" w:left="3295"/>
      </w:pPr>
      <w:rPr>
        <w:rFonts w:hint="default"/>
      </w:rPr>
      <w:start w:val="1"/>
      <w:suff w:val="tab"/>
    </w:lvl>
    <w:lvl w:ilvl="8">
      <w:isLgl w:val="true"/>
      <w:lvlJc w:val="left"/>
      <w:lvlText w:val="%1.%2.%3.%4.%5.%6.%7.%8.%9."/>
      <w:numFmt w:val="decimal"/>
      <w:pPr>
        <w:pBdr/>
        <w:spacing/>
        <w:ind w:hanging="1800" w:left="3295"/>
      </w:pPr>
      <w:rPr>
        <w:rFonts w:hint="default"/>
      </w:rPr>
      <w:start w:val="1"/>
      <w:suff w:val="tab"/>
    </w:lvl>
  </w:abstractNum>
  <w:abstractNum w:abstractNumId="13">
    <w:nsid w:val="36A354AD"/>
    <w:lvl w:ilvl="0">
      <w:isLgl w:val="false"/>
      <w:lvlJc w:val="left"/>
      <w:lvlText w:val="%1."/>
      <w:numFmt w:val="upperRoman"/>
      <w:pPr>
        <w:pBdr/>
        <w:spacing/>
        <w:ind w:hanging="360" w:left="1353"/>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4">
    <w:nsid w:val="38C522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3B1007BD"/>
    <w:lvl w:ilvl="0">
      <w:isLgl w:val="false"/>
      <w:lvlJc w:val="left"/>
      <w:lvlText w:val="%1."/>
      <w:numFmt w:val="upperRoman"/>
      <w:pPr>
        <w:pBdr/>
        <w:spacing/>
        <w:ind w:hanging="720" w:left="1575"/>
      </w:pPr>
      <w:rPr>
        <w:rFonts w:hint="default"/>
      </w:rPr>
      <w:start w:val="2"/>
      <w:suff w:val="tab"/>
    </w:lvl>
    <w:lvl w:ilvl="1">
      <w:isLgl w:val="false"/>
      <w:lvlJc w:val="left"/>
      <w:lvlText w:val="%2."/>
      <w:numFmt w:val="lowerLetter"/>
      <w:pPr>
        <w:pBdr/>
        <w:spacing/>
        <w:ind w:hanging="360" w:left="1935"/>
      </w:pPr>
      <w:rPr/>
      <w:start w:val="1"/>
      <w:suff w:val="tab"/>
    </w:lvl>
    <w:lvl w:ilvl="2">
      <w:isLgl w:val="false"/>
      <w:lvlJc w:val="right"/>
      <w:lvlText w:val="%3."/>
      <w:numFmt w:val="lowerRoman"/>
      <w:pPr>
        <w:pBdr/>
        <w:spacing/>
        <w:ind w:hanging="180" w:left="2655"/>
      </w:pPr>
      <w:rPr/>
      <w:start w:val="1"/>
      <w:suff w:val="tab"/>
    </w:lvl>
    <w:lvl w:ilvl="3">
      <w:isLgl w:val="false"/>
      <w:lvlJc w:val="left"/>
      <w:lvlText w:val="%4."/>
      <w:numFmt w:val="decimal"/>
      <w:pPr>
        <w:pBdr/>
        <w:spacing/>
        <w:ind w:hanging="360" w:left="3375"/>
      </w:pPr>
      <w:rPr/>
      <w:start w:val="1"/>
      <w:suff w:val="tab"/>
    </w:lvl>
    <w:lvl w:ilvl="4">
      <w:isLgl w:val="false"/>
      <w:lvlJc w:val="left"/>
      <w:lvlText w:val="%5."/>
      <w:numFmt w:val="lowerLetter"/>
      <w:pPr>
        <w:pBdr/>
        <w:spacing/>
        <w:ind w:hanging="360" w:left="4095"/>
      </w:pPr>
      <w:rPr/>
      <w:start w:val="1"/>
      <w:suff w:val="tab"/>
    </w:lvl>
    <w:lvl w:ilvl="5">
      <w:isLgl w:val="false"/>
      <w:lvlJc w:val="right"/>
      <w:lvlText w:val="%6."/>
      <w:numFmt w:val="lowerRoman"/>
      <w:pPr>
        <w:pBdr/>
        <w:spacing/>
        <w:ind w:hanging="180" w:left="4815"/>
      </w:pPr>
      <w:rPr/>
      <w:start w:val="1"/>
      <w:suff w:val="tab"/>
    </w:lvl>
    <w:lvl w:ilvl="6">
      <w:isLgl w:val="false"/>
      <w:lvlJc w:val="left"/>
      <w:lvlText w:val="%7."/>
      <w:numFmt w:val="decimal"/>
      <w:pPr>
        <w:pBdr/>
        <w:spacing/>
        <w:ind w:hanging="360" w:left="5535"/>
      </w:pPr>
      <w:rPr/>
      <w:start w:val="1"/>
      <w:suff w:val="tab"/>
    </w:lvl>
    <w:lvl w:ilvl="7">
      <w:isLgl w:val="false"/>
      <w:lvlJc w:val="left"/>
      <w:lvlText w:val="%8."/>
      <w:numFmt w:val="lowerLetter"/>
      <w:pPr>
        <w:pBdr/>
        <w:spacing/>
        <w:ind w:hanging="360" w:left="6255"/>
      </w:pPr>
      <w:rPr/>
      <w:start w:val="1"/>
      <w:suff w:val="tab"/>
    </w:lvl>
    <w:lvl w:ilvl="8">
      <w:isLgl w:val="false"/>
      <w:lvlJc w:val="right"/>
      <w:lvlText w:val="%9."/>
      <w:numFmt w:val="lowerRoman"/>
      <w:pPr>
        <w:pBdr/>
        <w:spacing/>
        <w:ind w:hanging="180" w:left="6975"/>
      </w:pPr>
      <w:rPr/>
      <w:start w:val="1"/>
      <w:suff w:val="tab"/>
    </w:lvl>
  </w:abstractNum>
  <w:abstractNum w:abstractNumId="16">
    <w:nsid w:val="4870457B"/>
    <w:lvl w:ilvl="0">
      <w:isLgl w:val="false"/>
      <w:lvlJc w:val="left"/>
      <w:lvlText w:val="%1."/>
      <w:numFmt w:val="decimal"/>
      <w:pPr>
        <w:pBdr/>
        <w:spacing/>
        <w:ind w:hanging="390" w:left="532"/>
      </w:pPr>
      <w:rPr>
        <w:rFonts w:hint="default"/>
      </w:rPr>
      <w:start w:val="4"/>
      <w:suff w:val="tab"/>
    </w:lvl>
    <w:lvl w:ilvl="1">
      <w:isLgl w:val="false"/>
      <w:lvlJc w:val="left"/>
      <w:lvlText w:val="%1.%2."/>
      <w:numFmt w:val="decimal"/>
      <w:pPr>
        <w:pBdr/>
        <w:spacing/>
        <w:ind w:hanging="720" w:left="1166"/>
      </w:pPr>
      <w:rPr>
        <w:rFonts w:hint="default"/>
      </w:rPr>
      <w:start w:val="1"/>
      <w:suff w:val="tab"/>
    </w:lvl>
    <w:lvl w:ilvl="2">
      <w:isLgl w:val="false"/>
      <w:lvlJc w:val="left"/>
      <w:lvlText w:val="%1.%2.%3."/>
      <w:numFmt w:val="decimal"/>
      <w:pPr>
        <w:pBdr/>
        <w:spacing/>
        <w:ind w:hanging="720" w:left="1612"/>
      </w:pPr>
      <w:rPr>
        <w:rFonts w:hint="default"/>
      </w:rPr>
      <w:start w:val="1"/>
      <w:suff w:val="tab"/>
    </w:lvl>
    <w:lvl w:ilvl="3">
      <w:isLgl w:val="false"/>
      <w:lvlJc w:val="left"/>
      <w:lvlText w:val="%1.%2.%3.%4."/>
      <w:numFmt w:val="decimal"/>
      <w:pPr>
        <w:pBdr/>
        <w:spacing/>
        <w:ind w:hanging="1080" w:left="2418"/>
      </w:pPr>
      <w:rPr>
        <w:rFonts w:hint="default"/>
      </w:rPr>
      <w:start w:val="1"/>
      <w:suff w:val="tab"/>
    </w:lvl>
    <w:lvl w:ilvl="4">
      <w:isLgl w:val="false"/>
      <w:lvlJc w:val="left"/>
      <w:lvlText w:val="%1.%2.%3.%4.%5."/>
      <w:numFmt w:val="decimal"/>
      <w:pPr>
        <w:pBdr/>
        <w:spacing/>
        <w:ind w:hanging="1080" w:left="2864"/>
      </w:pPr>
      <w:rPr>
        <w:rFonts w:hint="default"/>
      </w:rPr>
      <w:start w:val="1"/>
      <w:suff w:val="tab"/>
    </w:lvl>
    <w:lvl w:ilvl="5">
      <w:isLgl w:val="false"/>
      <w:lvlJc w:val="left"/>
      <w:lvlText w:val="%1.%2.%3.%4.%5.%6."/>
      <w:numFmt w:val="decimal"/>
      <w:pPr>
        <w:pBdr/>
        <w:spacing/>
        <w:ind w:hanging="1440" w:left="3670"/>
      </w:pPr>
      <w:rPr>
        <w:rFonts w:hint="default"/>
      </w:rPr>
      <w:start w:val="1"/>
      <w:suff w:val="tab"/>
    </w:lvl>
    <w:lvl w:ilvl="6">
      <w:isLgl w:val="false"/>
      <w:lvlJc w:val="left"/>
      <w:lvlText w:val="%1.%2.%3.%4.%5.%6.%7."/>
      <w:numFmt w:val="decimal"/>
      <w:pPr>
        <w:pBdr/>
        <w:spacing/>
        <w:ind w:hanging="1440" w:left="4116"/>
      </w:pPr>
      <w:rPr>
        <w:rFonts w:hint="default"/>
      </w:rPr>
      <w:start w:val="1"/>
      <w:suff w:val="tab"/>
    </w:lvl>
    <w:lvl w:ilvl="7">
      <w:isLgl w:val="false"/>
      <w:lvlJc w:val="left"/>
      <w:lvlText w:val="%1.%2.%3.%4.%5.%6.%7.%8."/>
      <w:numFmt w:val="decimal"/>
      <w:pPr>
        <w:pBdr/>
        <w:spacing/>
        <w:ind w:hanging="1800" w:left="4922"/>
      </w:pPr>
      <w:rPr>
        <w:rFonts w:hint="default"/>
      </w:rPr>
      <w:start w:val="1"/>
      <w:suff w:val="tab"/>
    </w:lvl>
    <w:lvl w:ilvl="8">
      <w:isLgl w:val="false"/>
      <w:lvlJc w:val="left"/>
      <w:lvlText w:val="%1.%2.%3.%4.%5.%6.%7.%8.%9."/>
      <w:numFmt w:val="decimal"/>
      <w:pPr>
        <w:pBdr/>
        <w:spacing/>
        <w:ind w:hanging="1800" w:left="5368"/>
      </w:pPr>
      <w:rPr>
        <w:rFonts w:hint="default"/>
      </w:rPr>
      <w:start w:val="1"/>
      <w:suff w:val="tab"/>
    </w:lvl>
  </w:abstractNum>
  <w:abstractNum w:abstractNumId="17">
    <w:nsid w:val="492E2B43"/>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8">
    <w:nsid w:val="49562540"/>
    <w:lvl w:ilvl="0">
      <w:isLgl w:val="false"/>
      <w:lvlJc w:val="left"/>
      <w:lvlText w:val="%1."/>
      <w:numFmt w:val="decimal"/>
      <w:pPr>
        <w:pBdr/>
        <w:spacing/>
        <w:ind w:hanging="360" w:left="1170"/>
      </w:pPr>
      <w:rPr>
        <w:b/>
      </w:rPr>
      <w:start w:val="1"/>
      <w:suff w:val="tab"/>
    </w:lvl>
    <w:lvl w:ilvl="1">
      <w:isLgl w:val="true"/>
      <w:lvlJc w:val="left"/>
      <w:lvlText w:val="%1.%2."/>
      <w:numFmt w:val="decimal"/>
      <w:pPr>
        <w:pBdr/>
        <w:spacing/>
        <w:ind w:hanging="720" w:left="1530"/>
      </w:pPr>
      <w:rPr>
        <w:rFonts w:hint="default"/>
      </w:rPr>
      <w:start w:val="1"/>
      <w:suff w:val="tab"/>
    </w:lvl>
    <w:lvl w:ilvl="2">
      <w:isLgl w:val="true"/>
      <w:lvlJc w:val="left"/>
      <w:lvlText w:val="%1.%2.%3."/>
      <w:numFmt w:val="decimal"/>
      <w:pPr>
        <w:pBdr/>
        <w:spacing/>
        <w:ind w:hanging="720" w:left="1530"/>
      </w:pPr>
      <w:rPr>
        <w:rFonts w:hint="default"/>
      </w:rPr>
      <w:start w:val="1"/>
      <w:suff w:val="tab"/>
    </w:lvl>
    <w:lvl w:ilvl="3">
      <w:isLgl w:val="true"/>
      <w:lvlJc w:val="left"/>
      <w:lvlText w:val="%1.%2.%3.%4."/>
      <w:numFmt w:val="decimal"/>
      <w:pPr>
        <w:pBdr/>
        <w:spacing/>
        <w:ind w:hanging="1080" w:left="1890"/>
      </w:pPr>
      <w:rPr>
        <w:rFonts w:hint="default"/>
      </w:rPr>
      <w:start w:val="1"/>
      <w:suff w:val="tab"/>
    </w:lvl>
    <w:lvl w:ilvl="4">
      <w:isLgl w:val="true"/>
      <w:lvlJc w:val="left"/>
      <w:lvlText w:val="%1.%2.%3.%4.%5."/>
      <w:numFmt w:val="decimal"/>
      <w:pPr>
        <w:pBdr/>
        <w:spacing/>
        <w:ind w:hanging="1080" w:left="1890"/>
      </w:pPr>
      <w:rPr>
        <w:rFonts w:hint="default"/>
      </w:rPr>
      <w:start w:val="1"/>
      <w:suff w:val="tab"/>
    </w:lvl>
    <w:lvl w:ilvl="5">
      <w:isLgl w:val="true"/>
      <w:lvlJc w:val="left"/>
      <w:lvlText w:val="%1.%2.%3.%4.%5.%6."/>
      <w:numFmt w:val="decimal"/>
      <w:pPr>
        <w:pBdr/>
        <w:spacing/>
        <w:ind w:hanging="1440" w:left="2250"/>
      </w:pPr>
      <w:rPr>
        <w:rFonts w:hint="default"/>
      </w:rPr>
      <w:start w:val="1"/>
      <w:suff w:val="tab"/>
    </w:lvl>
    <w:lvl w:ilvl="6">
      <w:isLgl w:val="true"/>
      <w:lvlJc w:val="left"/>
      <w:lvlText w:val="%1.%2.%3.%4.%5.%6.%7."/>
      <w:numFmt w:val="decimal"/>
      <w:pPr>
        <w:pBdr/>
        <w:spacing/>
        <w:ind w:hanging="1440" w:left="2250"/>
      </w:pPr>
      <w:rPr>
        <w:rFonts w:hint="default"/>
      </w:rPr>
      <w:start w:val="1"/>
      <w:suff w:val="tab"/>
    </w:lvl>
    <w:lvl w:ilvl="7">
      <w:isLgl w:val="true"/>
      <w:lvlJc w:val="left"/>
      <w:lvlText w:val="%1.%2.%3.%4.%5.%6.%7.%8."/>
      <w:numFmt w:val="decimal"/>
      <w:pPr>
        <w:pBdr/>
        <w:spacing/>
        <w:ind w:hanging="1800" w:left="2610"/>
      </w:pPr>
      <w:rPr>
        <w:rFonts w:hint="default"/>
      </w:rPr>
      <w:start w:val="1"/>
      <w:suff w:val="tab"/>
    </w:lvl>
    <w:lvl w:ilvl="8">
      <w:isLgl w:val="true"/>
      <w:lvlJc w:val="left"/>
      <w:lvlText w:val="%1.%2.%3.%4.%5.%6.%7.%8.%9."/>
      <w:numFmt w:val="decimal"/>
      <w:pPr>
        <w:pBdr/>
        <w:spacing/>
        <w:ind w:hanging="1800" w:left="2610"/>
      </w:pPr>
      <w:rPr>
        <w:rFonts w:hint="default"/>
      </w:rPr>
      <w:start w:val="1"/>
      <w:suff w:val="tab"/>
    </w:lvl>
  </w:abstractNum>
  <w:abstractNum w:abstractNumId="19">
    <w:nsid w:val="4A736E0F"/>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D4C30C0"/>
    <w:lvl w:ilvl="0">
      <w:isLgl w:val="false"/>
      <w:lvlJc w:val="left"/>
      <w:lvlText w:val=""/>
      <w:numFmt w:val="bullet"/>
      <w:pPr>
        <w:pBdr/>
        <w:spacing/>
        <w:ind w:hanging="360" w:left="927"/>
      </w:pPr>
      <w:rPr>
        <w:rFonts w:hint="default" w:ascii="Wingdings" w:hAnsi="Wingdings" w:eastAsia="Times New Roman" w:cs="Times New Roman"/>
        <w:b/>
      </w:rPr>
      <w:start w:val="673"/>
      <w:suff w:val="tab"/>
    </w:lvl>
    <w:lvl w:ilvl="1">
      <w:isLgl w:val="false"/>
      <w:lvlJc w:val="left"/>
      <w:lvlText w:val="o"/>
      <w:numFmt w:val="bullet"/>
      <w:pPr>
        <w:pBdr/>
        <w:spacing/>
        <w:ind w:hanging="360" w:left="1647"/>
      </w:pPr>
      <w:rPr>
        <w:rFonts w:hint="default" w:ascii="Courier New" w:hAnsi="Courier New" w:cs="Courier New"/>
      </w:rPr>
      <w:start w:val="1"/>
      <w:suff w:val="tab"/>
    </w:lvl>
    <w:lvl w:ilvl="2">
      <w:isLgl w:val="false"/>
      <w:lvlJc w:val="left"/>
      <w:lvlText w:val=""/>
      <w:numFmt w:val="bullet"/>
      <w:pPr>
        <w:pBdr/>
        <w:spacing/>
        <w:ind w:hanging="360" w:left="2367"/>
      </w:pPr>
      <w:rPr>
        <w:rFonts w:hint="default" w:ascii="Wingdings" w:hAnsi="Wingdings"/>
      </w:rPr>
      <w:start w:val="1"/>
      <w:suff w:val="tab"/>
    </w:lvl>
    <w:lvl w:ilvl="3">
      <w:isLgl w:val="false"/>
      <w:lvlJc w:val="left"/>
      <w:lvlText w:val=""/>
      <w:numFmt w:val="bullet"/>
      <w:pPr>
        <w:pBdr/>
        <w:spacing/>
        <w:ind w:hanging="360" w:left="3087"/>
      </w:pPr>
      <w:rPr>
        <w:rFonts w:hint="default" w:ascii="Symbol" w:hAnsi="Symbol"/>
      </w:rPr>
      <w:start w:val="1"/>
      <w:suff w:val="tab"/>
    </w:lvl>
    <w:lvl w:ilvl="4">
      <w:isLgl w:val="false"/>
      <w:lvlJc w:val="left"/>
      <w:lvlText w:val="o"/>
      <w:numFmt w:val="bullet"/>
      <w:pPr>
        <w:pBdr/>
        <w:spacing/>
        <w:ind w:hanging="360" w:left="3807"/>
      </w:pPr>
      <w:rPr>
        <w:rFonts w:hint="default" w:ascii="Courier New" w:hAnsi="Courier New" w:cs="Courier New"/>
      </w:rPr>
      <w:start w:val="1"/>
      <w:suff w:val="tab"/>
    </w:lvl>
    <w:lvl w:ilvl="5">
      <w:isLgl w:val="false"/>
      <w:lvlJc w:val="left"/>
      <w:lvlText w:val=""/>
      <w:numFmt w:val="bullet"/>
      <w:pPr>
        <w:pBdr/>
        <w:spacing/>
        <w:ind w:hanging="360" w:left="4527"/>
      </w:pPr>
      <w:rPr>
        <w:rFonts w:hint="default" w:ascii="Wingdings" w:hAnsi="Wingdings"/>
      </w:rPr>
      <w:start w:val="1"/>
      <w:suff w:val="tab"/>
    </w:lvl>
    <w:lvl w:ilvl="6">
      <w:isLgl w:val="false"/>
      <w:lvlJc w:val="left"/>
      <w:lvlText w:val=""/>
      <w:numFmt w:val="bullet"/>
      <w:pPr>
        <w:pBdr/>
        <w:spacing/>
        <w:ind w:hanging="360" w:left="5247"/>
      </w:pPr>
      <w:rPr>
        <w:rFonts w:hint="default" w:ascii="Symbol" w:hAnsi="Symbol"/>
      </w:rPr>
      <w:start w:val="1"/>
      <w:suff w:val="tab"/>
    </w:lvl>
    <w:lvl w:ilvl="7">
      <w:isLgl w:val="false"/>
      <w:lvlJc w:val="left"/>
      <w:lvlText w:val="o"/>
      <w:numFmt w:val="bullet"/>
      <w:pPr>
        <w:pBdr/>
        <w:spacing/>
        <w:ind w:hanging="360" w:left="5967"/>
      </w:pPr>
      <w:rPr>
        <w:rFonts w:hint="default" w:ascii="Courier New" w:hAnsi="Courier New" w:cs="Courier New"/>
      </w:rPr>
      <w:start w:val="1"/>
      <w:suff w:val="tab"/>
    </w:lvl>
    <w:lvl w:ilvl="8">
      <w:isLgl w:val="false"/>
      <w:lvlJc w:val="left"/>
      <w:lvlText w:val=""/>
      <w:numFmt w:val="bullet"/>
      <w:pPr>
        <w:pBdr/>
        <w:spacing/>
        <w:ind w:hanging="360" w:left="6687"/>
      </w:pPr>
      <w:rPr>
        <w:rFonts w:hint="default" w:ascii="Wingdings" w:hAnsi="Wingdings"/>
      </w:rPr>
      <w:start w:val="1"/>
      <w:suff w:val="tab"/>
    </w:lvl>
  </w:abstractNum>
  <w:abstractNum w:abstractNumId="21">
    <w:nsid w:val="56A77DAF"/>
    <w:lvl w:ilvl="0">
      <w:isLgl w:val="false"/>
      <w:lvlJc w:val="left"/>
      <w:lvlText w:val="%1."/>
      <w:numFmt w:val="decimal"/>
      <w:pPr>
        <w:pBdr/>
        <w:spacing/>
        <w:ind w:hanging="360" w:left="2520"/>
      </w:pPr>
      <w:rPr>
        <w:b/>
      </w:rPr>
      <w:start w:val="1"/>
      <w:suff w:val="tab"/>
    </w:lvl>
    <w:lvl w:ilvl="1">
      <w:isLgl w:val="true"/>
      <w:lvlJc w:val="left"/>
      <w:lvlText w:val="%1.%2."/>
      <w:numFmt w:val="decimal"/>
      <w:pPr>
        <w:pBdr/>
        <w:spacing/>
        <w:ind w:hanging="720" w:left="2970"/>
      </w:pPr>
      <w:rPr>
        <w:rFonts w:hint="default"/>
        <w:b/>
      </w:rPr>
      <w:start w:val="1"/>
      <w:suff w:val="tab"/>
    </w:lvl>
    <w:lvl w:ilvl="2">
      <w:isLgl w:val="true"/>
      <w:lvlJc w:val="left"/>
      <w:lvlText w:val="%1.%2.%3."/>
      <w:numFmt w:val="decimal"/>
      <w:pPr>
        <w:pBdr/>
        <w:spacing/>
        <w:ind w:hanging="720" w:left="3060"/>
      </w:pPr>
      <w:rPr>
        <w:rFonts w:hint="default"/>
        <w:b/>
      </w:rPr>
      <w:start w:val="1"/>
      <w:suff w:val="tab"/>
    </w:lvl>
    <w:lvl w:ilvl="3">
      <w:isLgl w:val="true"/>
      <w:lvlJc w:val="left"/>
      <w:lvlText w:val="%1.%2.%3.%4."/>
      <w:numFmt w:val="decimal"/>
      <w:pPr>
        <w:pBdr/>
        <w:spacing/>
        <w:ind w:hanging="1080" w:left="3510"/>
      </w:pPr>
      <w:rPr>
        <w:rFonts w:hint="default"/>
        <w:b/>
      </w:rPr>
      <w:start w:val="1"/>
      <w:suff w:val="tab"/>
    </w:lvl>
    <w:lvl w:ilvl="4">
      <w:isLgl w:val="true"/>
      <w:lvlJc w:val="left"/>
      <w:lvlText w:val="%1.%2.%3.%4.%5."/>
      <w:numFmt w:val="decimal"/>
      <w:pPr>
        <w:pBdr/>
        <w:spacing/>
        <w:ind w:hanging="1080" w:left="3600"/>
      </w:pPr>
      <w:rPr>
        <w:rFonts w:hint="default"/>
        <w:b/>
      </w:rPr>
      <w:start w:val="1"/>
      <w:suff w:val="tab"/>
    </w:lvl>
    <w:lvl w:ilvl="5">
      <w:isLgl w:val="true"/>
      <w:lvlJc w:val="left"/>
      <w:lvlText w:val="%1.%2.%3.%4.%5.%6."/>
      <w:numFmt w:val="decimal"/>
      <w:pPr>
        <w:pBdr/>
        <w:spacing/>
        <w:ind w:hanging="1440" w:left="4050"/>
      </w:pPr>
      <w:rPr>
        <w:rFonts w:hint="default"/>
        <w:b/>
      </w:rPr>
      <w:start w:val="1"/>
      <w:suff w:val="tab"/>
    </w:lvl>
    <w:lvl w:ilvl="6">
      <w:isLgl w:val="true"/>
      <w:lvlJc w:val="left"/>
      <w:lvlText w:val="%1.%2.%3.%4.%5.%6.%7."/>
      <w:numFmt w:val="decimal"/>
      <w:pPr>
        <w:pBdr/>
        <w:spacing/>
        <w:ind w:hanging="1440" w:left="4140"/>
      </w:pPr>
      <w:rPr>
        <w:rFonts w:hint="default"/>
        <w:b/>
      </w:rPr>
      <w:start w:val="1"/>
      <w:suff w:val="tab"/>
    </w:lvl>
    <w:lvl w:ilvl="7">
      <w:isLgl w:val="true"/>
      <w:lvlJc w:val="left"/>
      <w:lvlText w:val="%1.%2.%3.%4.%5.%6.%7.%8."/>
      <w:numFmt w:val="decimal"/>
      <w:pPr>
        <w:pBdr/>
        <w:spacing/>
        <w:ind w:hanging="1800" w:left="4590"/>
      </w:pPr>
      <w:rPr>
        <w:rFonts w:hint="default"/>
        <w:b/>
      </w:rPr>
      <w:start w:val="1"/>
      <w:suff w:val="tab"/>
    </w:lvl>
    <w:lvl w:ilvl="8">
      <w:isLgl w:val="true"/>
      <w:lvlJc w:val="left"/>
      <w:lvlText w:val="%1.%2.%3.%4.%5.%6.%7.%8.%9."/>
      <w:numFmt w:val="decimal"/>
      <w:pPr>
        <w:pBdr/>
        <w:spacing/>
        <w:ind w:hanging="1800" w:left="4680"/>
      </w:pPr>
      <w:rPr>
        <w:rFonts w:hint="default"/>
        <w:b/>
      </w:rPr>
      <w:start w:val="1"/>
      <w:suff w:val="tab"/>
    </w:lvl>
  </w:abstractNum>
  <w:abstractNum w:abstractNumId="22">
    <w:nsid w:val="57341B80"/>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E6A559D"/>
    <w:lvl w:ilvl="0">
      <w:isLgl w:val="false"/>
      <w:lvlJc w:val="left"/>
      <w:lvlText w:val="%1."/>
      <w:numFmt w:val="upperRoman"/>
      <w:pPr>
        <w:pBdr/>
        <w:spacing/>
        <w:ind w:hanging="720" w:left="117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24">
    <w:nsid w:val="64BC4F7A"/>
    <w:lvl w:ilvl="0">
      <w:isLgl w:val="false"/>
      <w:lvlJc w:val="left"/>
      <w:lvlText w:val="-"/>
      <w:numFmt w:val="bullet"/>
      <w:pPr>
        <w:pBdr/>
        <w:spacing/>
        <w:ind w:hanging="360" w:left="1080"/>
      </w:pPr>
      <w:rPr>
        <w:rFonts w:hint="default" w:ascii="Times New Roman" w:hAnsi="Times New Roman" w:eastAsia="Times New Roman" w:cs="Times New Roman"/>
      </w:rPr>
      <w:start w:val="8"/>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727E1BB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4E37D76"/>
    <w:lvl w:ilvl="0">
      <w:isLgl w:val="false"/>
      <w:lvlJc w:val="left"/>
      <w:lvlText w:val="-"/>
      <w:numFmt w:val="bullet"/>
      <w:pPr>
        <w:pBdr/>
        <w:spacing/>
        <w:ind w:hanging="360" w:left="1287"/>
      </w:pPr>
      <w:rPr>
        <w:rFonts w:hint="default" w:ascii="Times New Roman" w:hAnsi="Times New Roman" w:eastAsia="Times New Roman" w:cs="Times New Roman"/>
        <w:color w:val="auto"/>
      </w:rPr>
      <w:start w:val="2"/>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27">
    <w:nsid w:val="753833A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D515838"/>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num w:numId="1">
    <w:abstractNumId w:val="21"/>
  </w:num>
  <w:num w:numId="2">
    <w:abstractNumId w:val="18"/>
  </w:num>
  <w:num w:numId="3">
    <w:abstractNumId w:val="11"/>
  </w:num>
  <w:num w:numId="4">
    <w:abstractNumId w:val="8"/>
  </w:num>
  <w:num w:numId="5">
    <w:abstractNumId w:val="16"/>
  </w:num>
  <w:num w:numId="6">
    <w:abstractNumId w:val="13"/>
  </w:num>
  <w:num w:numId="7">
    <w:abstractNumId w:val="5"/>
  </w:num>
  <w:num w:numId="8">
    <w:abstractNumId w:val="15"/>
  </w:num>
  <w:num w:numId="9">
    <w:abstractNumId w:val="12"/>
  </w:num>
  <w:num w:numId="10">
    <w:abstractNumId w:val="2"/>
  </w:num>
  <w:num w:numId="11">
    <w:abstractNumId w:val="20"/>
  </w:num>
  <w:num w:numId="12">
    <w:abstractNumId w:val="26"/>
  </w:num>
  <w:num w:numId="13">
    <w:abstractNumId w:val="3"/>
  </w:num>
  <w:num w:numId="14">
    <w:abstractNumId w:val="6"/>
  </w:num>
  <w:num w:numId="15">
    <w:abstractNumId w:val="25"/>
  </w:num>
  <w:num w:numId="16">
    <w:abstractNumId w:val="19"/>
  </w:num>
  <w:num w:numId="17">
    <w:abstractNumId w:val="0"/>
  </w:num>
  <w:num w:numId="18">
    <w:abstractNumId w:val="4"/>
  </w:num>
  <w:num w:numId="19">
    <w:abstractNumId w:val="22"/>
  </w:num>
  <w:num w:numId="20">
    <w:abstractNumId w:val="9"/>
  </w:num>
  <w:num w:numId="21">
    <w:abstractNumId w:val="23"/>
  </w:num>
  <w:num w:numId="22">
    <w:abstractNumId w:val="17"/>
  </w:num>
  <w:num w:numId="23">
    <w:abstractNumId w:val="7"/>
  </w:num>
  <w:num w:numId="24">
    <w:abstractNumId w:val="10"/>
  </w:num>
  <w:num w:numId="25">
    <w:abstractNumId w:val="28"/>
  </w:num>
  <w:num w:numId="26">
    <w:abstractNumId w:val="24"/>
  </w:num>
  <w:num w:numId="27">
    <w:abstractNumId w:val="14"/>
  </w:num>
  <w:num w:numId="28">
    <w:abstractNumId w:val="1"/>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5">
    <w:name w:val="Table Grid Light"/>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1"/>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2"/>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3"/>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4"/>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5"/>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w:basedOn w:val="9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w:basedOn w:val="9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1"/>
    <w:basedOn w:val="9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2"/>
    <w:basedOn w:val="9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3"/>
    <w:basedOn w:val="9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4"/>
    <w:basedOn w:val="9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5"/>
    <w:basedOn w:val="9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6"/>
    <w:basedOn w:val="9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Accent 1"/>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2"/>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3"/>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4"/>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5"/>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6"/>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7">
    <w:name w:val="Grid Table 6 Colorful - Accent 1"/>
    <w:basedOn w:val="9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8">
    <w:name w:val="Grid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9">
    <w:name w:val="Grid Table 6 Colorful - Accent 3"/>
    <w:basedOn w:val="9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0">
    <w:name w:val="Grid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1">
    <w:name w:val="Grid Table 6 Colorful - Accent 5"/>
    <w:basedOn w:val="9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6 Colorful - Accent 6"/>
    <w:basedOn w:val="9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3">
    <w:name w:val="Grid Table 7 Colorful"/>
    <w:basedOn w:val="9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1"/>
    <w:basedOn w:val="9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5"/>
    <w:basedOn w:val="9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6"/>
    <w:basedOn w:val="9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1"/>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2"/>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3"/>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4"/>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5"/>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6"/>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w:basedOn w:val="9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1"/>
    <w:basedOn w:val="9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2"/>
    <w:basedOn w:val="9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3"/>
    <w:basedOn w:val="9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4"/>
    <w:basedOn w:val="9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5"/>
    <w:basedOn w:val="9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6"/>
    <w:basedOn w:val="9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1"/>
    <w:basedOn w:val="9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3"/>
    <w:basedOn w:val="9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5"/>
    <w:basedOn w:val="9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6"/>
    <w:basedOn w:val="9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1"/>
    <w:basedOn w:val="9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2"/>
    <w:basedOn w:val="9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3"/>
    <w:basedOn w:val="9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4"/>
    <w:basedOn w:val="9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5"/>
    <w:basedOn w:val="9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6"/>
    <w:basedOn w:val="9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5 Dark"/>
    <w:basedOn w:val="9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1"/>
    <w:basedOn w:val="9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2"/>
    <w:basedOn w:val="9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3"/>
    <w:basedOn w:val="9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4"/>
    <w:basedOn w:val="9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5"/>
    <w:basedOn w:val="9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6"/>
    <w:basedOn w:val="9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1"/>
    <w:basedOn w:val="9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3"/>
    <w:basedOn w:val="9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5"/>
    <w:basedOn w:val="9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6"/>
    <w:basedOn w:val="9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7 Colorful"/>
    <w:basedOn w:val="9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3">
    <w:name w:val="List Table 7 Colorful - Accent 1"/>
    <w:basedOn w:val="9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4">
    <w:name w:val="List Table 7 Colorful - Accent 2"/>
    <w:basedOn w:val="9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5">
    <w:name w:val="List Table 7 Colorful - Accent 3"/>
    <w:basedOn w:val="9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6">
    <w:name w:val="List Table 7 Colorful - Accent 4"/>
    <w:basedOn w:val="9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7">
    <w:name w:val="List Table 7 Colorful - Accent 5"/>
    <w:basedOn w:val="9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8">
    <w:name w:val="List Table 7 Colorful - Accent 6"/>
    <w:basedOn w:val="9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9">
    <w:name w:val="Lined - Accent"/>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1"/>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2"/>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3"/>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4"/>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5"/>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6"/>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w:basedOn w:val="9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1"/>
    <w:basedOn w:val="9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2"/>
    <w:basedOn w:val="9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3"/>
    <w:basedOn w:val="9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4"/>
    <w:basedOn w:val="9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5"/>
    <w:basedOn w:val="9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6"/>
    <w:basedOn w:val="9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w:basedOn w:val="9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0">
    <w:name w:val="Subtitle"/>
    <w:basedOn w:val="944"/>
    <w:next w:val="944"/>
    <w:link w:val="921"/>
    <w:uiPriority w:val="11"/>
    <w:qFormat/>
    <w:pPr>
      <w:numPr>
        <w:ilvl w:val="1"/>
      </w:numPr>
      <w:pBdr/>
      <w:spacing/>
      <w:ind/>
    </w:pPr>
    <w:rPr>
      <w:color w:val="595959" w:themeColor="text1" w:themeTint="A6"/>
      <w:spacing w:val="15"/>
      <w:sz w:val="28"/>
      <w:szCs w:val="28"/>
    </w:rPr>
  </w:style>
  <w:style w:type="character" w:styleId="921">
    <w:name w:val="Subtitle Char"/>
    <w:basedOn w:val="954"/>
    <w:link w:val="920"/>
    <w:uiPriority w:val="11"/>
    <w:pPr>
      <w:pBdr/>
      <w:spacing/>
      <w:ind/>
    </w:pPr>
    <w:rPr>
      <w:color w:val="595959" w:themeColor="text1" w:themeTint="A6"/>
      <w:spacing w:val="15"/>
      <w:sz w:val="28"/>
      <w:szCs w:val="28"/>
    </w:rPr>
  </w:style>
  <w:style w:type="paragraph" w:styleId="922">
    <w:name w:val="Quote"/>
    <w:basedOn w:val="944"/>
    <w:next w:val="944"/>
    <w:link w:val="923"/>
    <w:uiPriority w:val="29"/>
    <w:qFormat/>
    <w:pPr>
      <w:pBdr/>
      <w:spacing w:before="160"/>
      <w:ind/>
      <w:jc w:val="center"/>
    </w:pPr>
    <w:rPr>
      <w:i/>
      <w:iCs/>
      <w:color w:val="404040" w:themeColor="text1" w:themeTint="BF"/>
    </w:rPr>
  </w:style>
  <w:style w:type="character" w:styleId="923">
    <w:name w:val="Quote Char"/>
    <w:basedOn w:val="954"/>
    <w:link w:val="922"/>
    <w:uiPriority w:val="29"/>
    <w:pPr>
      <w:pBdr/>
      <w:spacing/>
      <w:ind/>
    </w:pPr>
    <w:rPr>
      <w:i/>
      <w:iCs/>
      <w:color w:val="404040" w:themeColor="text1" w:themeTint="BF"/>
    </w:rPr>
  </w:style>
  <w:style w:type="character" w:styleId="924">
    <w:name w:val="Intense Emphasis"/>
    <w:basedOn w:val="954"/>
    <w:uiPriority w:val="21"/>
    <w:qFormat/>
    <w:pPr>
      <w:pBdr/>
      <w:spacing/>
      <w:ind/>
    </w:pPr>
    <w:rPr>
      <w:i/>
      <w:iCs/>
      <w:color w:val="0f4761" w:themeColor="accent1" w:themeShade="BF"/>
    </w:rPr>
  </w:style>
  <w:style w:type="paragraph" w:styleId="925">
    <w:name w:val="Intense Quote"/>
    <w:basedOn w:val="944"/>
    <w:next w:val="944"/>
    <w:link w:val="9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6">
    <w:name w:val="Intense Quote Char"/>
    <w:basedOn w:val="954"/>
    <w:link w:val="925"/>
    <w:uiPriority w:val="30"/>
    <w:pPr>
      <w:pBdr/>
      <w:spacing/>
      <w:ind/>
    </w:pPr>
    <w:rPr>
      <w:i/>
      <w:iCs/>
      <w:color w:val="0f4761" w:themeColor="accent1" w:themeShade="BF"/>
    </w:rPr>
  </w:style>
  <w:style w:type="character" w:styleId="927">
    <w:name w:val="Intense Reference"/>
    <w:basedOn w:val="954"/>
    <w:uiPriority w:val="32"/>
    <w:qFormat/>
    <w:pPr>
      <w:pBdr/>
      <w:spacing/>
      <w:ind/>
    </w:pPr>
    <w:rPr>
      <w:b/>
      <w:bCs/>
      <w:smallCaps/>
      <w:color w:val="0f4761" w:themeColor="accent1" w:themeShade="BF"/>
      <w:spacing w:val="5"/>
    </w:rPr>
  </w:style>
  <w:style w:type="paragraph" w:styleId="928">
    <w:name w:val="No Spacing"/>
    <w:basedOn w:val="944"/>
    <w:uiPriority w:val="1"/>
    <w:qFormat/>
    <w:pPr>
      <w:pBdr/>
      <w:spacing w:after="0" w:line="240" w:lineRule="auto"/>
      <w:ind/>
    </w:pPr>
  </w:style>
  <w:style w:type="character" w:styleId="929">
    <w:name w:val="Subtle Emphasis"/>
    <w:basedOn w:val="954"/>
    <w:uiPriority w:val="19"/>
    <w:qFormat/>
    <w:pPr>
      <w:pBdr/>
      <w:spacing/>
      <w:ind/>
    </w:pPr>
    <w:rPr>
      <w:i/>
      <w:iCs/>
      <w:color w:val="404040" w:themeColor="text1" w:themeTint="BF"/>
    </w:rPr>
  </w:style>
  <w:style w:type="character" w:styleId="930">
    <w:name w:val="Emphasis"/>
    <w:basedOn w:val="954"/>
    <w:uiPriority w:val="20"/>
    <w:qFormat/>
    <w:pPr>
      <w:pBdr/>
      <w:spacing/>
      <w:ind/>
    </w:pPr>
    <w:rPr>
      <w:i/>
      <w:iCs/>
    </w:rPr>
  </w:style>
  <w:style w:type="character" w:styleId="931">
    <w:name w:val="Subtle Reference"/>
    <w:basedOn w:val="954"/>
    <w:uiPriority w:val="31"/>
    <w:qFormat/>
    <w:pPr>
      <w:pBdr/>
      <w:spacing/>
      <w:ind/>
    </w:pPr>
    <w:rPr>
      <w:smallCaps/>
      <w:color w:val="5a5a5a" w:themeColor="text1" w:themeTint="A5"/>
    </w:rPr>
  </w:style>
  <w:style w:type="character" w:styleId="932">
    <w:name w:val="Book Title"/>
    <w:basedOn w:val="954"/>
    <w:uiPriority w:val="33"/>
    <w:qFormat/>
    <w:pPr>
      <w:pBdr/>
      <w:spacing/>
      <w:ind/>
    </w:pPr>
    <w:rPr>
      <w:b/>
      <w:bCs/>
      <w:i/>
      <w:iCs/>
      <w:spacing w:val="5"/>
    </w:rPr>
  </w:style>
  <w:style w:type="paragraph" w:styleId="933">
    <w:name w:val="toc 1"/>
    <w:basedOn w:val="944"/>
    <w:next w:val="944"/>
    <w:uiPriority w:val="39"/>
    <w:unhideWhenUsed/>
    <w:pPr>
      <w:pBdr/>
      <w:spacing w:after="100"/>
      <w:ind/>
    </w:pPr>
  </w:style>
  <w:style w:type="paragraph" w:styleId="934">
    <w:name w:val="toc 2"/>
    <w:basedOn w:val="944"/>
    <w:next w:val="944"/>
    <w:uiPriority w:val="39"/>
    <w:unhideWhenUsed/>
    <w:pPr>
      <w:pBdr/>
      <w:spacing w:after="100"/>
      <w:ind w:left="220"/>
    </w:pPr>
  </w:style>
  <w:style w:type="paragraph" w:styleId="935">
    <w:name w:val="toc 3"/>
    <w:basedOn w:val="944"/>
    <w:next w:val="944"/>
    <w:uiPriority w:val="39"/>
    <w:unhideWhenUsed/>
    <w:pPr>
      <w:pBdr/>
      <w:spacing w:after="100"/>
      <w:ind w:left="440"/>
    </w:pPr>
  </w:style>
  <w:style w:type="paragraph" w:styleId="936">
    <w:name w:val="toc 4"/>
    <w:basedOn w:val="944"/>
    <w:next w:val="944"/>
    <w:uiPriority w:val="39"/>
    <w:unhideWhenUsed/>
    <w:pPr>
      <w:pBdr/>
      <w:spacing w:after="100"/>
      <w:ind w:left="660"/>
    </w:pPr>
  </w:style>
  <w:style w:type="paragraph" w:styleId="937">
    <w:name w:val="toc 5"/>
    <w:basedOn w:val="944"/>
    <w:next w:val="944"/>
    <w:uiPriority w:val="39"/>
    <w:unhideWhenUsed/>
    <w:pPr>
      <w:pBdr/>
      <w:spacing w:after="100"/>
      <w:ind w:left="880"/>
    </w:pPr>
  </w:style>
  <w:style w:type="paragraph" w:styleId="938">
    <w:name w:val="toc 6"/>
    <w:basedOn w:val="944"/>
    <w:next w:val="944"/>
    <w:uiPriority w:val="39"/>
    <w:unhideWhenUsed/>
    <w:pPr>
      <w:pBdr/>
      <w:spacing w:after="100"/>
      <w:ind w:left="1100"/>
    </w:pPr>
  </w:style>
  <w:style w:type="paragraph" w:styleId="939">
    <w:name w:val="toc 7"/>
    <w:basedOn w:val="944"/>
    <w:next w:val="944"/>
    <w:uiPriority w:val="39"/>
    <w:unhideWhenUsed/>
    <w:pPr>
      <w:pBdr/>
      <w:spacing w:after="100"/>
      <w:ind w:left="1320"/>
    </w:pPr>
  </w:style>
  <w:style w:type="paragraph" w:styleId="940">
    <w:name w:val="toc 8"/>
    <w:basedOn w:val="944"/>
    <w:next w:val="944"/>
    <w:uiPriority w:val="39"/>
    <w:unhideWhenUsed/>
    <w:pPr>
      <w:pBdr/>
      <w:spacing w:after="100"/>
      <w:ind w:left="1540"/>
    </w:pPr>
  </w:style>
  <w:style w:type="paragraph" w:styleId="941">
    <w:name w:val="toc 9"/>
    <w:basedOn w:val="944"/>
    <w:next w:val="944"/>
    <w:uiPriority w:val="39"/>
    <w:unhideWhenUsed/>
    <w:pPr>
      <w:pBdr/>
      <w:spacing w:after="100"/>
      <w:ind w:left="1760"/>
    </w:p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pBdr/>
      <w:spacing/>
      <w:ind/>
    </w:pPr>
    <w:rPr>
      <w:rFonts w:ascii="Times New Roman" w:hAnsi="Times New Roman" w:eastAsia="Times New Roman"/>
      <w:sz w:val="24"/>
      <w:szCs w:val="24"/>
    </w:rPr>
  </w:style>
  <w:style w:type="paragraph" w:styleId="945">
    <w:name w:val="Heading 1"/>
    <w:basedOn w:val="944"/>
    <w:next w:val="944"/>
    <w:link w:val="957"/>
    <w:qFormat/>
    <w:pPr>
      <w:keepNext w:val="true"/>
      <w:pBdr/>
      <w:spacing/>
      <w:ind/>
      <w:outlineLvl w:val="0"/>
    </w:pPr>
    <w:rPr>
      <w:rFonts w:ascii=".VnTimeH" w:hAnsi=".VnTimeH"/>
      <w:b/>
      <w:sz w:val="28"/>
      <w:szCs w:val="20"/>
    </w:rPr>
  </w:style>
  <w:style w:type="paragraph" w:styleId="946">
    <w:name w:val="Heading 2"/>
    <w:basedOn w:val="944"/>
    <w:next w:val="944"/>
    <w:link w:val="958"/>
    <w:qFormat/>
    <w:pPr>
      <w:keepNext w:val="true"/>
      <w:pBdr/>
      <w:spacing/>
      <w:ind/>
      <w:outlineLvl w:val="1"/>
    </w:pPr>
    <w:rPr>
      <w:rFonts w:ascii=".VnTime" w:hAnsi=".VnTime"/>
      <w:b/>
      <w:sz w:val="32"/>
      <w:szCs w:val="20"/>
    </w:rPr>
  </w:style>
  <w:style w:type="paragraph" w:styleId="947">
    <w:name w:val="Heading 3"/>
    <w:basedOn w:val="944"/>
    <w:next w:val="944"/>
    <w:link w:val="959"/>
    <w:qFormat/>
    <w:pPr>
      <w:keepNext w:val="true"/>
      <w:pBdr/>
      <w:spacing/>
      <w:ind/>
      <w:jc w:val="center"/>
      <w:outlineLvl w:val="2"/>
    </w:pPr>
    <w:rPr>
      <w:rFonts w:ascii=".VnTimeH" w:hAnsi=".VnTimeH"/>
      <w:b/>
      <w:sz w:val="28"/>
      <w:szCs w:val="20"/>
    </w:rPr>
  </w:style>
  <w:style w:type="paragraph" w:styleId="948">
    <w:name w:val="Heading 4"/>
    <w:basedOn w:val="944"/>
    <w:next w:val="944"/>
    <w:link w:val="960"/>
    <w:qFormat/>
    <w:pPr>
      <w:keepNext w:val="true"/>
      <w:pBdr/>
      <w:spacing/>
      <w:ind w:firstLine="720" w:left="5760"/>
      <w:outlineLvl w:val="3"/>
    </w:pPr>
    <w:rPr>
      <w:rFonts w:ascii=".VnTime" w:hAnsi=".VnTime"/>
      <w:b/>
      <w:sz w:val="28"/>
      <w:szCs w:val="20"/>
    </w:rPr>
  </w:style>
  <w:style w:type="paragraph" w:styleId="949">
    <w:name w:val="Heading 5"/>
    <w:basedOn w:val="944"/>
    <w:next w:val="944"/>
    <w:link w:val="961"/>
    <w:qFormat/>
    <w:pPr>
      <w:keepNext w:val="true"/>
      <w:pBdr/>
      <w:spacing/>
      <w:ind w:firstLine="720" w:left="4320"/>
      <w:outlineLvl w:val="4"/>
    </w:pPr>
    <w:rPr>
      <w:rFonts w:ascii=".VnTime" w:hAnsi=".VnTime"/>
      <w:b/>
      <w:sz w:val="28"/>
      <w:szCs w:val="20"/>
    </w:rPr>
  </w:style>
  <w:style w:type="paragraph" w:styleId="950">
    <w:name w:val="Heading 6"/>
    <w:basedOn w:val="944"/>
    <w:next w:val="944"/>
    <w:link w:val="962"/>
    <w:qFormat/>
    <w:pPr>
      <w:keepNext w:val="true"/>
      <w:pBdr/>
      <w:spacing/>
      <w:ind w:firstLine="720" w:left="3600"/>
      <w:outlineLvl w:val="5"/>
    </w:pPr>
    <w:rPr>
      <w:rFonts w:ascii=".VnTime" w:hAnsi=".VnTime"/>
      <w:b/>
      <w:sz w:val="28"/>
      <w:szCs w:val="20"/>
    </w:rPr>
  </w:style>
  <w:style w:type="paragraph" w:styleId="951">
    <w:name w:val="Heading 7"/>
    <w:basedOn w:val="944"/>
    <w:next w:val="944"/>
    <w:link w:val="963"/>
    <w:qFormat/>
    <w:pPr>
      <w:keepNext w:val="true"/>
      <w:pBdr/>
      <w:spacing/>
      <w:ind w:firstLine="720" w:left="5040"/>
      <w:jc w:val="both"/>
      <w:outlineLvl w:val="6"/>
    </w:pPr>
    <w:rPr>
      <w:rFonts w:ascii=".VnTimeH" w:hAnsi=".VnTimeH"/>
      <w:b/>
      <w:i/>
      <w:color w:val="000000"/>
      <w:sz w:val="28"/>
      <w:szCs w:val="20"/>
    </w:rPr>
  </w:style>
  <w:style w:type="paragraph" w:styleId="952">
    <w:name w:val="Heading 8"/>
    <w:basedOn w:val="944"/>
    <w:next w:val="944"/>
    <w:link w:val="964"/>
    <w:qFormat/>
    <w:pPr>
      <w:keepNext w:val="true"/>
      <w:pBdr/>
      <w:spacing/>
      <w:ind w:firstLine="720" w:left="720"/>
      <w:outlineLvl w:val="7"/>
    </w:pPr>
    <w:rPr>
      <w:rFonts w:ascii=".VnTimeH" w:hAnsi=".VnTimeH"/>
      <w:b/>
      <w:sz w:val="34"/>
      <w:szCs w:val="20"/>
    </w:rPr>
  </w:style>
  <w:style w:type="paragraph" w:styleId="953">
    <w:name w:val="Heading 9"/>
    <w:basedOn w:val="944"/>
    <w:next w:val="944"/>
    <w:link w:val="1005"/>
    <w:qFormat/>
    <w:pPr>
      <w:keepNext w:val="true"/>
      <w:pBdr/>
      <w:spacing/>
      <w:ind w:left="-108"/>
      <w:jc w:val="center"/>
      <w:outlineLvl w:val="8"/>
    </w:pPr>
    <w:rPr>
      <w:rFonts w:ascii=".VnTime" w:hAnsi=".VnTime"/>
      <w:b/>
      <w:bCs/>
      <w:sz w:val="28"/>
      <w:szCs w:val="28"/>
    </w:rPr>
  </w:style>
  <w:style w:type="character" w:styleId="954" w:default="1">
    <w:name w:val="Default Paragraph Font"/>
    <w:uiPriority w:val="1"/>
    <w:semiHidden/>
    <w:unhideWhenUsed/>
    <w:pPr>
      <w:pBdr/>
      <w:spacing/>
      <w:ind/>
    </w:pPr>
  </w:style>
  <w:style w:type="table" w:styleId="95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6" w:default="1">
    <w:name w:val="No List"/>
    <w:uiPriority w:val="99"/>
    <w:semiHidden/>
    <w:unhideWhenUsed/>
    <w:pPr>
      <w:pBdr/>
      <w:spacing/>
      <w:ind/>
    </w:pPr>
  </w:style>
  <w:style w:type="character" w:styleId="957" w:customStyle="1">
    <w:name w:val="Heading 1 Char"/>
    <w:link w:val="945"/>
    <w:pPr>
      <w:pBdr/>
      <w:spacing/>
      <w:ind/>
    </w:pPr>
    <w:rPr>
      <w:rFonts w:ascii=".VnTimeH" w:hAnsi=".VnTimeH" w:eastAsia="Times New Roman" w:cs="Times New Roman"/>
      <w:b/>
      <w:sz w:val="28"/>
      <w:szCs w:val="20"/>
      <w:lang w:val="en-US"/>
    </w:rPr>
  </w:style>
  <w:style w:type="character" w:styleId="958" w:customStyle="1">
    <w:name w:val="Heading 2 Char"/>
    <w:link w:val="946"/>
    <w:pPr>
      <w:pBdr/>
      <w:spacing/>
      <w:ind/>
    </w:pPr>
    <w:rPr>
      <w:rFonts w:ascii=".VnTime" w:hAnsi=".VnTime" w:eastAsia="Times New Roman" w:cs="Times New Roman"/>
      <w:b/>
      <w:sz w:val="32"/>
      <w:szCs w:val="20"/>
      <w:lang w:val="en-US"/>
    </w:rPr>
  </w:style>
  <w:style w:type="character" w:styleId="959" w:customStyle="1">
    <w:name w:val="Heading 3 Char"/>
    <w:link w:val="947"/>
    <w:pPr>
      <w:pBdr/>
      <w:spacing/>
      <w:ind/>
    </w:pPr>
    <w:rPr>
      <w:rFonts w:ascii=".VnTimeH" w:hAnsi=".VnTimeH" w:eastAsia="Times New Roman" w:cs="Times New Roman"/>
      <w:b/>
      <w:sz w:val="28"/>
      <w:szCs w:val="20"/>
      <w:lang w:val="en-US"/>
    </w:rPr>
  </w:style>
  <w:style w:type="character" w:styleId="960" w:customStyle="1">
    <w:name w:val="Heading 4 Char"/>
    <w:link w:val="948"/>
    <w:pPr>
      <w:pBdr/>
      <w:spacing/>
      <w:ind/>
    </w:pPr>
    <w:rPr>
      <w:rFonts w:ascii=".VnTime" w:hAnsi=".VnTime" w:eastAsia="Times New Roman" w:cs="Times New Roman"/>
      <w:b/>
      <w:sz w:val="28"/>
      <w:szCs w:val="20"/>
      <w:lang w:val="en-US"/>
    </w:rPr>
  </w:style>
  <w:style w:type="character" w:styleId="961" w:customStyle="1">
    <w:name w:val="Heading 5 Char"/>
    <w:link w:val="949"/>
    <w:pPr>
      <w:pBdr/>
      <w:spacing/>
      <w:ind/>
    </w:pPr>
    <w:rPr>
      <w:rFonts w:ascii=".VnTime" w:hAnsi=".VnTime" w:eastAsia="Times New Roman" w:cs="Times New Roman"/>
      <w:b/>
      <w:sz w:val="28"/>
      <w:szCs w:val="20"/>
      <w:lang w:val="en-US"/>
    </w:rPr>
  </w:style>
  <w:style w:type="character" w:styleId="962" w:customStyle="1">
    <w:name w:val="Heading 6 Char"/>
    <w:link w:val="950"/>
    <w:pPr>
      <w:pBdr/>
      <w:spacing/>
      <w:ind/>
    </w:pPr>
    <w:rPr>
      <w:rFonts w:ascii=".VnTime" w:hAnsi=".VnTime" w:eastAsia="Times New Roman" w:cs="Times New Roman"/>
      <w:b/>
      <w:sz w:val="28"/>
      <w:szCs w:val="20"/>
      <w:lang w:val="en-US"/>
    </w:rPr>
  </w:style>
  <w:style w:type="character" w:styleId="963" w:customStyle="1">
    <w:name w:val="Heading 7 Char"/>
    <w:link w:val="951"/>
    <w:pPr>
      <w:pBdr/>
      <w:spacing/>
      <w:ind/>
    </w:pPr>
    <w:rPr>
      <w:rFonts w:ascii=".VnTimeH" w:hAnsi=".VnTimeH" w:eastAsia="Times New Roman" w:cs="Times New Roman"/>
      <w:b/>
      <w:i/>
      <w:color w:val="000000"/>
      <w:sz w:val="28"/>
      <w:szCs w:val="20"/>
      <w:lang w:val="en-US"/>
    </w:rPr>
  </w:style>
  <w:style w:type="character" w:styleId="964" w:customStyle="1">
    <w:name w:val="Heading 8 Char"/>
    <w:link w:val="952"/>
    <w:pPr>
      <w:pBdr/>
      <w:spacing/>
      <w:ind/>
    </w:pPr>
    <w:rPr>
      <w:rFonts w:ascii=".VnTimeH" w:hAnsi=".VnTimeH" w:eastAsia="Times New Roman" w:cs="Times New Roman"/>
      <w:b/>
      <w:sz w:val="34"/>
      <w:szCs w:val="20"/>
      <w:lang w:val="en-US"/>
    </w:rPr>
  </w:style>
  <w:style w:type="paragraph" w:styleId="965">
    <w:name w:val="Header"/>
    <w:basedOn w:val="944"/>
    <w:link w:val="966"/>
    <w:uiPriority w:val="99"/>
    <w:pPr>
      <w:pBdr/>
      <w:tabs>
        <w:tab w:val="center" w:leader="none" w:pos="4320"/>
        <w:tab w:val="right" w:leader="none" w:pos="8640"/>
      </w:tabs>
      <w:spacing/>
      <w:ind/>
    </w:pPr>
  </w:style>
  <w:style w:type="character" w:styleId="966" w:customStyle="1">
    <w:name w:val="Header Char"/>
    <w:link w:val="965"/>
    <w:uiPriority w:val="99"/>
    <w:pPr>
      <w:pBdr/>
      <w:spacing/>
      <w:ind/>
    </w:pPr>
    <w:rPr>
      <w:rFonts w:ascii="Times New Roman" w:hAnsi="Times New Roman" w:eastAsia="Times New Roman" w:cs="Times New Roman"/>
      <w:sz w:val="24"/>
      <w:szCs w:val="24"/>
      <w:lang w:val="en-US"/>
    </w:rPr>
  </w:style>
  <w:style w:type="paragraph" w:styleId="967">
    <w:name w:val="Footer"/>
    <w:basedOn w:val="944"/>
    <w:link w:val="968"/>
    <w:uiPriority w:val="99"/>
    <w:pPr>
      <w:pBdr/>
      <w:tabs>
        <w:tab w:val="center" w:leader="none" w:pos="4320"/>
        <w:tab w:val="right" w:leader="none" w:pos="8640"/>
      </w:tabs>
      <w:spacing/>
      <w:ind/>
    </w:pPr>
  </w:style>
  <w:style w:type="character" w:styleId="968" w:customStyle="1">
    <w:name w:val="Footer Char"/>
    <w:link w:val="967"/>
    <w:uiPriority w:val="99"/>
    <w:pPr>
      <w:pBdr/>
      <w:spacing/>
      <w:ind/>
    </w:pPr>
    <w:rPr>
      <w:rFonts w:ascii="Times New Roman" w:hAnsi="Times New Roman" w:eastAsia="Times New Roman" w:cs="Times New Roman"/>
      <w:sz w:val="24"/>
      <w:szCs w:val="24"/>
      <w:lang w:val="en-US"/>
    </w:rPr>
  </w:style>
  <w:style w:type="character" w:styleId="969">
    <w:name w:val="page number"/>
    <w:basedOn w:val="954"/>
    <w:pPr>
      <w:pBdr/>
      <w:spacing/>
      <w:ind/>
    </w:pPr>
  </w:style>
  <w:style w:type="paragraph" w:styleId="970">
    <w:name w:val="Balloon Text"/>
    <w:basedOn w:val="944"/>
    <w:link w:val="971"/>
    <w:unhideWhenUsed/>
    <w:pPr>
      <w:pBdr/>
      <w:spacing/>
      <w:ind/>
    </w:pPr>
    <w:rPr>
      <w:rFonts w:ascii="Tahoma" w:hAnsi="Tahoma"/>
      <w:sz w:val="16"/>
      <w:szCs w:val="16"/>
    </w:rPr>
  </w:style>
  <w:style w:type="character" w:styleId="971" w:customStyle="1">
    <w:name w:val="Balloon Text Char"/>
    <w:link w:val="970"/>
    <w:pPr>
      <w:pBdr/>
      <w:spacing/>
      <w:ind/>
    </w:pPr>
    <w:rPr>
      <w:rFonts w:ascii="Tahoma" w:hAnsi="Tahoma" w:eastAsia="Times New Roman" w:cs="Tahoma"/>
      <w:sz w:val="16"/>
      <w:szCs w:val="16"/>
      <w:lang w:val="en-US"/>
    </w:rPr>
  </w:style>
  <w:style w:type="paragraph" w:styleId="972">
    <w:name w:val="Body Text Indent 2"/>
    <w:basedOn w:val="944"/>
    <w:link w:val="973"/>
    <w:pPr>
      <w:pBdr/>
      <w:spacing/>
      <w:ind w:firstLine="720"/>
      <w:jc w:val="both"/>
    </w:pPr>
    <w:rPr>
      <w:rFonts w:ascii=".VnTime" w:hAnsi=".VnTime"/>
      <w:sz w:val="28"/>
      <w:szCs w:val="28"/>
    </w:rPr>
  </w:style>
  <w:style w:type="character" w:styleId="973" w:customStyle="1">
    <w:name w:val="Body Text Indent 2 Char"/>
    <w:link w:val="972"/>
    <w:pPr>
      <w:pBdr/>
      <w:spacing/>
      <w:ind/>
    </w:pPr>
    <w:rPr>
      <w:rFonts w:ascii=".VnTime" w:hAnsi=".VnTime" w:eastAsia="Times New Roman" w:cs="Times New Roman"/>
      <w:sz w:val="28"/>
      <w:szCs w:val="28"/>
      <w:lang w:val="en-US"/>
    </w:rPr>
  </w:style>
  <w:style w:type="table" w:styleId="974">
    <w:name w:val="Table Grid"/>
    <w:basedOn w:val="955"/>
    <w:uiPriority w:val="59"/>
    <w:pPr>
      <w:pBdr/>
      <w:spacing/>
      <w:ind/>
    </w:pPr>
    <w:rPr>
      <w:rFonts w:ascii="Times New Roman" w:hAnsi="Times New Roman" w:eastAsia="Times New Roman"/>
      <w:lang w:eastAsia="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5">
    <w:name w:val="Body Text"/>
    <w:basedOn w:val="944"/>
    <w:link w:val="976"/>
    <w:pPr>
      <w:pBdr/>
      <w:spacing/>
      <w:ind/>
      <w:jc w:val="both"/>
    </w:pPr>
    <w:rPr>
      <w:rFonts w:ascii=".VnTime" w:hAnsi=".VnTime"/>
      <w:sz w:val="28"/>
    </w:rPr>
  </w:style>
  <w:style w:type="character" w:styleId="976" w:customStyle="1">
    <w:name w:val="Body Text Char"/>
    <w:link w:val="975"/>
    <w:pPr>
      <w:pBdr/>
      <w:spacing/>
      <w:ind/>
    </w:pPr>
    <w:rPr>
      <w:rFonts w:ascii=".VnTime" w:hAnsi=".VnTime" w:eastAsia="Times New Roman" w:cs="Times New Roman"/>
      <w:sz w:val="28"/>
      <w:szCs w:val="24"/>
      <w:lang w:val="en-US"/>
    </w:rPr>
  </w:style>
  <w:style w:type="paragraph" w:styleId="977" w:customStyle="1">
    <w:name w:val="B1"/>
    <w:basedOn w:val="944"/>
    <w:link w:val="978"/>
    <w:pPr>
      <w:pBdr/>
      <w:spacing w:before="120" w:line="312" w:lineRule="auto"/>
      <w:ind w:hanging="360"/>
      <w:jc w:val="both"/>
    </w:pPr>
    <w:rPr>
      <w:spacing w:val="-4"/>
      <w:sz w:val="26"/>
      <w:szCs w:val="26"/>
      <w:lang w:val="fr-FR"/>
    </w:rPr>
  </w:style>
  <w:style w:type="character" w:styleId="978" w:customStyle="1">
    <w:name w:val="B1 Char"/>
    <w:link w:val="977"/>
    <w:pPr>
      <w:pBdr/>
      <w:spacing/>
      <w:ind/>
    </w:pPr>
    <w:rPr>
      <w:rFonts w:ascii="Times New Roman" w:hAnsi="Times New Roman" w:eastAsia="Times New Roman" w:cs="Times New Roman"/>
      <w:spacing w:val="-4"/>
      <w:sz w:val="26"/>
      <w:szCs w:val="26"/>
      <w:lang w:val="fr-FR"/>
    </w:rPr>
  </w:style>
  <w:style w:type="paragraph" w:styleId="979" w:customStyle="1">
    <w:name w:val="B2 Char"/>
    <w:basedOn w:val="944"/>
    <w:link w:val="980"/>
    <w:pPr>
      <w:pBdr/>
      <w:spacing w:after="120" w:before="120" w:line="288" w:lineRule="auto"/>
      <w:ind w:firstLine="822"/>
      <w:jc w:val="both"/>
    </w:pPr>
    <w:rPr>
      <w:spacing w:val="-8"/>
      <w:sz w:val="26"/>
      <w:szCs w:val="26"/>
    </w:rPr>
  </w:style>
  <w:style w:type="character" w:styleId="980" w:customStyle="1">
    <w:name w:val="B2 Char Char"/>
    <w:link w:val="979"/>
    <w:pPr>
      <w:pBdr/>
      <w:spacing/>
      <w:ind/>
    </w:pPr>
    <w:rPr>
      <w:rFonts w:ascii="Times New Roman" w:hAnsi="Times New Roman" w:eastAsia="Times New Roman" w:cs="Times New Roman"/>
      <w:spacing w:val="-8"/>
      <w:sz w:val="26"/>
      <w:szCs w:val="26"/>
      <w:lang w:val="en-US"/>
    </w:rPr>
  </w:style>
  <w:style w:type="paragraph" w:styleId="981" w:customStyle="1">
    <w:name w:val="Char"/>
    <w:basedOn w:val="944"/>
    <w:pPr>
      <w:pBdr/>
      <w:spacing w:after="160" w:line="240" w:lineRule="exact"/>
      <w:ind/>
    </w:pPr>
    <w:rPr>
      <w:rFonts w:ascii="Tahoma" w:hAnsi="Tahoma" w:eastAsia="PMingLiU"/>
      <w:sz w:val="20"/>
      <w:szCs w:val="20"/>
    </w:rPr>
  </w:style>
  <w:style w:type="paragraph" w:styleId="982">
    <w:name w:val="Body Text 2"/>
    <w:basedOn w:val="944"/>
    <w:link w:val="983"/>
    <w:pPr>
      <w:pBdr/>
      <w:spacing w:after="120" w:line="480" w:lineRule="auto"/>
      <w:ind/>
    </w:pPr>
    <w:rPr>
      <w:rFonts w:ascii=".VnTime" w:hAnsi=".VnTime"/>
    </w:rPr>
  </w:style>
  <w:style w:type="character" w:styleId="983" w:customStyle="1">
    <w:name w:val="Body Text 2 Char"/>
    <w:link w:val="982"/>
    <w:pPr>
      <w:pBdr/>
      <w:spacing/>
      <w:ind/>
    </w:pPr>
    <w:rPr>
      <w:rFonts w:ascii=".VnTime" w:hAnsi=".VnTime" w:eastAsia="Times New Roman" w:cs="Times New Roman"/>
      <w:sz w:val="24"/>
      <w:szCs w:val="24"/>
      <w:lang w:val="en-US"/>
    </w:rPr>
  </w:style>
  <w:style w:type="paragraph" w:styleId="984">
    <w:name w:val="Body Text 3"/>
    <w:basedOn w:val="944"/>
    <w:link w:val="985"/>
    <w:pPr>
      <w:pBdr/>
      <w:spacing w:after="120"/>
      <w:ind/>
    </w:pPr>
    <w:rPr>
      <w:rFonts w:ascii=".VnTime" w:hAnsi=".VnTime"/>
      <w:sz w:val="16"/>
      <w:szCs w:val="16"/>
    </w:rPr>
  </w:style>
  <w:style w:type="character" w:styleId="985" w:customStyle="1">
    <w:name w:val="Body Text 3 Char"/>
    <w:link w:val="984"/>
    <w:pPr>
      <w:pBdr/>
      <w:spacing/>
      <w:ind/>
    </w:pPr>
    <w:rPr>
      <w:rFonts w:ascii=".VnTime" w:hAnsi=".VnTime" w:eastAsia="Times New Roman" w:cs="Times New Roman"/>
      <w:sz w:val="16"/>
      <w:szCs w:val="16"/>
      <w:lang w:val="en-US"/>
    </w:rPr>
  </w:style>
  <w:style w:type="paragraph" w:styleId="986" w:customStyle="1">
    <w:name w:val="Char1"/>
    <w:basedOn w:val="944"/>
    <w:pPr>
      <w:pBdr/>
      <w:spacing w:after="160" w:line="240" w:lineRule="exact"/>
      <w:ind/>
    </w:pPr>
    <w:rPr>
      <w:rFonts w:ascii="Tahoma" w:hAnsi="Tahoma" w:cs="Tahoma"/>
      <w:sz w:val="20"/>
      <w:szCs w:val="20"/>
    </w:rPr>
  </w:style>
  <w:style w:type="paragraph" w:styleId="987" w:customStyle="1">
    <w:name w:val="Char Char Char Char Char Char1 Char Char Char Char"/>
    <w:basedOn w:val="944"/>
    <w:pPr>
      <w:numPr>
        <w:ilvl w:val="8"/>
      </w:numPr>
      <w:pBdr/>
      <w:tabs>
        <w:tab w:val="num" w:leader="none" w:pos="6418"/>
      </w:tabs>
      <w:spacing w:after="160" w:line="240" w:lineRule="exact"/>
      <w:ind w:hanging="180" w:left="6418"/>
    </w:pPr>
    <w:rPr>
      <w:rFonts w:ascii="Verdana" w:hAnsi="Verdana"/>
      <w:sz w:val="20"/>
      <w:szCs w:val="20"/>
      <w:lang w:val="en-GB"/>
    </w:rPr>
  </w:style>
  <w:style w:type="paragraph" w:styleId="988" w:customStyle="1">
    <w:name w:val="Char Char"/>
    <w:basedOn w:val="944"/>
    <w:pPr>
      <w:pBdr/>
      <w:spacing w:after="160" w:line="240" w:lineRule="exact"/>
      <w:ind/>
    </w:pPr>
    <w:rPr>
      <w:rFonts w:ascii="Verdana" w:hAnsi="Verdana" w:cs="Verdana"/>
      <w:sz w:val="20"/>
      <w:szCs w:val="20"/>
    </w:rPr>
  </w:style>
  <w:style w:type="paragraph" w:styleId="989">
    <w:name w:val="Body Text Indent"/>
    <w:basedOn w:val="944"/>
    <w:link w:val="990"/>
    <w:pPr>
      <w:pBdr/>
      <w:spacing w:after="120"/>
      <w:ind w:left="360"/>
    </w:pPr>
    <w:rPr>
      <w:rFonts w:ascii=".VnTime" w:hAnsi=".VnTime"/>
    </w:rPr>
  </w:style>
  <w:style w:type="character" w:styleId="990" w:customStyle="1">
    <w:name w:val="Body Text Indent Char"/>
    <w:link w:val="989"/>
    <w:pPr>
      <w:pBdr/>
      <w:spacing/>
      <w:ind/>
    </w:pPr>
    <w:rPr>
      <w:rFonts w:ascii=".VnTime" w:hAnsi=".VnTime" w:eastAsia="Times New Roman" w:cs="Times New Roman"/>
      <w:sz w:val="24"/>
      <w:szCs w:val="24"/>
      <w:lang w:val="en-US"/>
    </w:rPr>
  </w:style>
  <w:style w:type="paragraph" w:styleId="991" w:customStyle="1">
    <w:name w:val="Char Char Char Char Char Char Char Char Char Char Char Char1 Char Char Char"/>
    <w:basedOn w:val="944"/>
    <w:pPr>
      <w:pBdr/>
      <w:spacing w:after="160" w:line="240" w:lineRule="exact"/>
      <w:ind/>
    </w:pPr>
    <w:rPr>
      <w:rFonts w:ascii="Tahoma" w:hAnsi="Tahoma" w:eastAsia="PMingLiU"/>
      <w:sz w:val="20"/>
      <w:szCs w:val="20"/>
    </w:rPr>
  </w:style>
  <w:style w:type="paragraph" w:styleId="992" w:customStyle="1">
    <w:name w:val="yiv931476154msonormal"/>
    <w:basedOn w:val="944"/>
    <w:pPr>
      <w:pBdr/>
      <w:spacing w:after="100" w:afterAutospacing="1" w:before="100" w:beforeAutospacing="1"/>
      <w:ind/>
    </w:pPr>
  </w:style>
  <w:style w:type="paragraph" w:styleId="993" w:customStyle="1">
    <w:name w:val="xl41"/>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sz w:val="28"/>
      <w:szCs w:val="28"/>
    </w:rPr>
  </w:style>
  <w:style w:type="paragraph" w:styleId="994" w:customStyle="1">
    <w:name w:val="Char Char Char Char Char Char Char Char Char Char"/>
    <w:basedOn w:val="944"/>
    <w:pPr>
      <w:pageBreakBefore w:val="true"/>
      <w:pBdr/>
      <w:spacing w:after="100" w:afterAutospacing="1" w:before="100" w:beforeAutospacing="1"/>
      <w:ind/>
    </w:pPr>
    <w:rPr>
      <w:rFonts w:ascii="Tahoma" w:hAnsi="Tahoma" w:cs="Tahoma"/>
      <w:sz w:val="20"/>
      <w:szCs w:val="20"/>
    </w:rPr>
  </w:style>
  <w:style w:type="paragraph" w:styleId="995" w:customStyle="1">
    <w:name w:val="Char Char Char"/>
    <w:basedOn w:val="944"/>
    <w:pPr>
      <w:pBdr/>
      <w:spacing w:after="160" w:line="240" w:lineRule="exact"/>
      <w:ind/>
    </w:pPr>
    <w:rPr>
      <w:rFonts w:ascii="Tahoma" w:hAnsi="Tahoma" w:eastAsia="PMingLiU"/>
      <w:sz w:val="20"/>
      <w:szCs w:val="20"/>
    </w:rPr>
  </w:style>
  <w:style w:type="paragraph" w:styleId="996">
    <w:name w:val="Body Text Indent 3"/>
    <w:basedOn w:val="944"/>
    <w:link w:val="997"/>
    <w:pPr>
      <w:pBdr/>
      <w:spacing w:after="120"/>
      <w:ind w:left="360"/>
    </w:pPr>
    <w:rPr>
      <w:sz w:val="16"/>
      <w:szCs w:val="16"/>
    </w:rPr>
  </w:style>
  <w:style w:type="character" w:styleId="997" w:customStyle="1">
    <w:name w:val="Body Text Indent 3 Char"/>
    <w:link w:val="996"/>
    <w:pPr>
      <w:pBdr/>
      <w:spacing/>
      <w:ind/>
    </w:pPr>
    <w:rPr>
      <w:rFonts w:ascii="Times New Roman" w:hAnsi="Times New Roman" w:eastAsia="Times New Roman" w:cs="Times New Roman"/>
      <w:sz w:val="16"/>
      <w:szCs w:val="16"/>
      <w:lang w:val="en-US"/>
    </w:rPr>
  </w:style>
  <w:style w:type="paragraph" w:styleId="998">
    <w:name w:val="List Paragraph"/>
    <w:basedOn w:val="944"/>
    <w:link w:val="1044"/>
    <w:uiPriority w:val="34"/>
    <w:qFormat/>
    <w:pPr>
      <w:pBdr/>
      <w:spacing w:line="312" w:lineRule="auto"/>
      <w:ind w:left="720"/>
      <w:contextualSpacing w:val="true"/>
    </w:pPr>
    <w:rPr>
      <w:rFonts w:eastAsia="Calibri"/>
      <w:sz w:val="28"/>
      <w:szCs w:val="22"/>
    </w:rPr>
  </w:style>
  <w:style w:type="paragraph" w:styleId="999" w:customStyle="1">
    <w:name w:val="Thuong"/>
    <w:basedOn w:val="944"/>
    <w:link w:val="1000"/>
    <w:pPr>
      <w:pBdr/>
      <w:spacing w:before="120" w:line="312" w:lineRule="auto"/>
      <w:ind w:firstLine="540"/>
      <w:jc w:val="both"/>
    </w:pPr>
    <w:rPr>
      <w:sz w:val="26"/>
      <w:szCs w:val="28"/>
      <w:lang w:val="en-GB"/>
    </w:rPr>
  </w:style>
  <w:style w:type="character" w:styleId="1000" w:customStyle="1">
    <w:name w:val="Thuong Char"/>
    <w:link w:val="999"/>
    <w:pPr>
      <w:pBdr/>
      <w:spacing/>
      <w:ind/>
    </w:pPr>
    <w:rPr>
      <w:rFonts w:ascii="Times New Roman" w:hAnsi="Times New Roman" w:eastAsia="Times New Roman" w:cs="Times New Roman"/>
      <w:sz w:val="26"/>
      <w:szCs w:val="28"/>
      <w:lang w:val="en-GB"/>
    </w:rPr>
  </w:style>
  <w:style w:type="paragraph" w:styleId="1001" w:customStyle="1">
    <w:name w:val="xl45"/>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b/>
      <w:bCs/>
      <w:sz w:val="28"/>
      <w:szCs w:val="28"/>
    </w:rPr>
  </w:style>
  <w:style w:type="paragraph" w:styleId="1002" w:customStyle="1">
    <w:name w:val="Char Char Char Char"/>
    <w:basedOn w:val="944"/>
    <w:pPr>
      <w:pBdr/>
      <w:spacing w:after="160" w:line="240" w:lineRule="exact"/>
      <w:ind/>
    </w:pPr>
    <w:rPr>
      <w:rFonts w:ascii="Tahoma" w:hAnsi="Tahoma" w:cs="Tahoma"/>
      <w:sz w:val="20"/>
      <w:szCs w:val="20"/>
    </w:rPr>
  </w:style>
  <w:style w:type="paragraph" w:styleId="1003" w:customStyle="1">
    <w:name w:val="Char Char Char Char Char Char"/>
    <w:basedOn w:val="944"/>
    <w:pPr>
      <w:pBdr/>
      <w:spacing w:after="160" w:line="240" w:lineRule="exact"/>
      <w:ind/>
    </w:pPr>
    <w:rPr>
      <w:rFonts w:ascii="Tahoma" w:hAnsi="Tahoma" w:eastAsia="PMingLiU"/>
      <w:sz w:val="20"/>
      <w:szCs w:val="20"/>
    </w:rPr>
  </w:style>
  <w:style w:type="paragraph" w:styleId="1004">
    <w:name w:val="Normal (Web)"/>
    <w:basedOn w:val="944"/>
    <w:unhideWhenUsed/>
    <w:pPr>
      <w:pBdr/>
      <w:spacing/>
      <w:ind/>
    </w:pPr>
  </w:style>
  <w:style w:type="character" w:styleId="1005" w:customStyle="1">
    <w:name w:val="Heading 9 Char"/>
    <w:link w:val="953"/>
    <w:pPr>
      <w:pBdr/>
      <w:spacing/>
      <w:ind/>
    </w:pPr>
    <w:rPr>
      <w:rFonts w:ascii=".VnTime" w:hAnsi=".VnTime" w:eastAsia="Times New Roman" w:cs="Times New Roman"/>
      <w:b/>
      <w:bCs/>
      <w:sz w:val="28"/>
      <w:szCs w:val="28"/>
      <w:lang w:val="en-US"/>
    </w:rPr>
  </w:style>
  <w:style w:type="paragraph" w:styleId="1006">
    <w:name w:val="Block Text"/>
    <w:basedOn w:val="944"/>
    <w:pPr>
      <w:pBdr/>
      <w:spacing/>
      <w:ind w:right="113" w:firstLine="720" w:left="113"/>
      <w:jc w:val="both"/>
    </w:pPr>
    <w:rPr>
      <w:rFonts w:ascii=".VnTime" w:hAnsi=".VnTime"/>
      <w:sz w:val="28"/>
    </w:rPr>
  </w:style>
  <w:style w:type="character" w:styleId="1007" w:customStyle="1">
    <w:name w:val="Body Text 3 Char Char"/>
    <w:pPr>
      <w:pBdr/>
      <w:spacing/>
      <w:ind/>
    </w:pPr>
    <w:rPr>
      <w:rFonts w:ascii=".VnTime" w:hAnsi=".VnTime"/>
      <w:sz w:val="24"/>
      <w:szCs w:val="24"/>
      <w:lang w:val="en-US" w:eastAsia="en-US" w:bidi="ar-SA"/>
    </w:rPr>
  </w:style>
  <w:style w:type="paragraph" w:styleId="1008">
    <w:name w:val="Title"/>
    <w:basedOn w:val="944"/>
    <w:link w:val="1009"/>
    <w:qFormat/>
    <w:pPr>
      <w:pBdr/>
      <w:spacing/>
      <w:ind/>
      <w:jc w:val="center"/>
    </w:pPr>
    <w:rPr>
      <w:rFonts w:ascii=".VnTimeH" w:hAnsi=".VnTimeH"/>
      <w:b/>
      <w:sz w:val="42"/>
      <w:szCs w:val="20"/>
    </w:rPr>
  </w:style>
  <w:style w:type="character" w:styleId="1009" w:customStyle="1">
    <w:name w:val="Title Char"/>
    <w:link w:val="1008"/>
    <w:pPr>
      <w:pBdr/>
      <w:spacing/>
      <w:ind/>
    </w:pPr>
    <w:rPr>
      <w:rFonts w:ascii=".VnTimeH" w:hAnsi=".VnTimeH" w:eastAsia="Times New Roman" w:cs="Times New Roman"/>
      <w:b/>
      <w:sz w:val="42"/>
      <w:szCs w:val="20"/>
      <w:lang w:val="en-US"/>
    </w:rPr>
  </w:style>
  <w:style w:type="character" w:styleId="1010">
    <w:name w:val="Strong"/>
    <w:qFormat/>
    <w:pPr>
      <w:pBdr/>
      <w:spacing/>
      <w:ind/>
    </w:pPr>
    <w:rPr>
      <w:b/>
      <w:bCs/>
    </w:rPr>
  </w:style>
  <w:style w:type="paragraph" w:styleId="1011" w:customStyle="1">
    <w:name w:val="yiv592693479msonormal"/>
    <w:basedOn w:val="944"/>
    <w:pPr>
      <w:pBdr/>
      <w:spacing w:after="100" w:afterAutospacing="1" w:before="100" w:beforeAutospacing="1"/>
      <w:ind/>
    </w:pPr>
  </w:style>
  <w:style w:type="paragraph" w:styleId="1012">
    <w:name w:val="List 2"/>
    <w:basedOn w:val="944"/>
    <w:pPr>
      <w:pBdr/>
      <w:spacing/>
      <w:ind w:hanging="360" w:left="720"/>
    </w:pPr>
    <w:rPr>
      <w:rFonts w:ascii="VNI-Times" w:hAnsi="VNI-Times"/>
      <w:sz w:val="26"/>
      <w:szCs w:val="20"/>
    </w:rPr>
  </w:style>
  <w:style w:type="paragraph" w:styleId="1013" w:customStyle="1">
    <w:name w:val="headerfontcon"/>
    <w:basedOn w:val="944"/>
    <w:pPr>
      <w:pBdr/>
      <w:spacing w:after="100" w:afterAutospacing="1" w:before="100" w:beforeAutospacing="1"/>
      <w:ind/>
    </w:pPr>
    <w:rPr>
      <w:lang w:val="en-AU" w:eastAsia="en-AU"/>
    </w:rPr>
  </w:style>
  <w:style w:type="character" w:styleId="1014" w:customStyle="1">
    <w:name w:val="st"/>
    <w:basedOn w:val="954"/>
    <w:pPr>
      <w:pBdr/>
      <w:spacing/>
      <w:ind/>
    </w:pPr>
  </w:style>
  <w:style w:type="character" w:styleId="1015">
    <w:name w:val="Hyperlink"/>
    <w:uiPriority w:val="99"/>
    <w:unhideWhenUsed/>
    <w:pPr>
      <w:pBdr/>
      <w:spacing/>
      <w:ind/>
    </w:pPr>
    <w:rPr>
      <w:color w:val="0000ff"/>
      <w:u w:val="single"/>
    </w:rPr>
  </w:style>
  <w:style w:type="character" w:styleId="1016">
    <w:name w:val="annotation reference"/>
    <w:uiPriority w:val="99"/>
    <w:semiHidden/>
    <w:unhideWhenUsed/>
    <w:pPr>
      <w:pBdr/>
      <w:spacing/>
      <w:ind/>
    </w:pPr>
    <w:rPr>
      <w:sz w:val="16"/>
      <w:szCs w:val="16"/>
    </w:rPr>
  </w:style>
  <w:style w:type="paragraph" w:styleId="1017">
    <w:name w:val="annotation text"/>
    <w:basedOn w:val="944"/>
    <w:link w:val="1018"/>
    <w:unhideWhenUsed/>
    <w:pPr>
      <w:pBdr/>
      <w:spacing/>
      <w:ind/>
    </w:pPr>
    <w:rPr>
      <w:sz w:val="20"/>
      <w:szCs w:val="20"/>
    </w:rPr>
  </w:style>
  <w:style w:type="character" w:styleId="1018" w:customStyle="1">
    <w:name w:val="Comment Text Char"/>
    <w:link w:val="1017"/>
    <w:pPr>
      <w:pBdr/>
      <w:spacing/>
      <w:ind/>
    </w:pPr>
    <w:rPr>
      <w:rFonts w:ascii="Times New Roman" w:hAnsi="Times New Roman" w:eastAsia="Times New Roman" w:cs="Times New Roman"/>
      <w:sz w:val="20"/>
      <w:szCs w:val="20"/>
      <w:lang w:val="en-US"/>
    </w:rPr>
  </w:style>
  <w:style w:type="paragraph" w:styleId="1019">
    <w:name w:val="annotation subject"/>
    <w:basedOn w:val="1017"/>
    <w:next w:val="1017"/>
    <w:link w:val="1020"/>
    <w:uiPriority w:val="99"/>
    <w:semiHidden/>
    <w:unhideWhenUsed/>
    <w:pPr>
      <w:pBdr/>
      <w:spacing/>
      <w:ind/>
    </w:pPr>
    <w:rPr>
      <w:b/>
      <w:bCs/>
    </w:rPr>
  </w:style>
  <w:style w:type="character" w:styleId="1020" w:customStyle="1">
    <w:name w:val="Comment Subject Char"/>
    <w:link w:val="1019"/>
    <w:uiPriority w:val="99"/>
    <w:semiHidden/>
    <w:pPr>
      <w:pBdr/>
      <w:spacing/>
      <w:ind/>
    </w:pPr>
    <w:rPr>
      <w:rFonts w:ascii="Times New Roman" w:hAnsi="Times New Roman" w:eastAsia="Times New Roman" w:cs="Times New Roman"/>
      <w:b/>
      <w:bCs/>
      <w:sz w:val="20"/>
      <w:szCs w:val="20"/>
      <w:lang w:val="en-US"/>
    </w:rPr>
  </w:style>
  <w:style w:type="paragraph" w:styleId="1021">
    <w:name w:val="Revision"/>
    <w:hidden/>
    <w:uiPriority w:val="99"/>
    <w:semiHidden/>
    <w:pPr>
      <w:pBdr/>
      <w:spacing/>
      <w:ind/>
    </w:pPr>
    <w:rPr>
      <w:rFonts w:ascii="Times New Roman" w:hAnsi="Times New Roman" w:eastAsia="Times New Roman"/>
      <w:sz w:val="24"/>
      <w:szCs w:val="24"/>
    </w:rPr>
  </w:style>
  <w:style w:type="paragraph" w:styleId="1022" w:customStyle="1">
    <w:name w:val="pbody"/>
    <w:basedOn w:val="944"/>
    <w:pPr>
      <w:pBdr/>
      <w:spacing w:after="100" w:afterAutospacing="1" w:before="100" w:beforeAutospacing="1"/>
      <w:ind/>
    </w:pPr>
  </w:style>
  <w:style w:type="paragraph" w:styleId="1023">
    <w:name w:val="Caption"/>
    <w:basedOn w:val="944"/>
    <w:next w:val="944"/>
    <w:qFormat/>
    <w:pPr>
      <w:pBdr/>
      <w:spacing w:after="120" w:before="120"/>
      <w:ind/>
    </w:pPr>
    <w:rPr>
      <w:rFonts w:ascii=".VnTime" w:hAnsi=".VnTime"/>
      <w:b/>
      <w:bCs/>
      <w:color w:val="0000ff"/>
      <w:sz w:val="20"/>
      <w:szCs w:val="26"/>
    </w:rPr>
  </w:style>
  <w:style w:type="paragraph" w:styleId="1024" w:customStyle="1">
    <w:name w:val="Char3"/>
    <w:basedOn w:val="944"/>
    <w:pPr>
      <w:pageBreakBefore w:val="true"/>
      <w:pBdr/>
      <w:spacing w:after="100" w:afterAutospacing="1" w:before="100" w:beforeAutospacing="1"/>
      <w:ind/>
    </w:pPr>
    <w:rPr>
      <w:rFonts w:ascii="Tahoma" w:hAnsi="Tahoma" w:cs="Tahoma"/>
      <w:sz w:val="20"/>
      <w:szCs w:val="20"/>
    </w:rPr>
  </w:style>
  <w:style w:type="paragraph" w:styleId="1025" w:customStyle="1">
    <w:name w:val="Char Char Char Char2"/>
    <w:basedOn w:val="944"/>
    <w:pPr>
      <w:pBdr/>
      <w:spacing w:after="160" w:line="240" w:lineRule="exact"/>
      <w:ind/>
    </w:pPr>
    <w:rPr>
      <w:rFonts w:ascii="Tahoma" w:hAnsi="Tahoma" w:eastAsia="PMingLiU"/>
      <w:sz w:val="20"/>
      <w:szCs w:val="20"/>
    </w:rPr>
  </w:style>
  <w:style w:type="paragraph" w:styleId="1026" w:customStyle="1">
    <w:name w:val="Char Char Char Char1"/>
    <w:basedOn w:val="944"/>
    <w:pPr>
      <w:pageBreakBefore w:val="true"/>
      <w:pBdr/>
      <w:spacing w:after="100" w:afterAutospacing="1" w:before="100" w:beforeAutospacing="1"/>
      <w:ind/>
    </w:pPr>
    <w:rPr>
      <w:rFonts w:ascii="Tahoma" w:hAnsi="Tahoma" w:cs="Tahoma"/>
      <w:sz w:val="20"/>
      <w:szCs w:val="20"/>
    </w:rPr>
  </w:style>
  <w:style w:type="paragraph" w:styleId="1027" w:customStyle="1">
    <w:name w:val="Char Char2"/>
    <w:basedOn w:val="944"/>
    <w:pPr>
      <w:pageBreakBefore w:val="true"/>
      <w:pBdr/>
      <w:spacing w:after="100" w:afterAutospacing="1" w:before="100" w:beforeAutospacing="1"/>
      <w:ind/>
    </w:pPr>
    <w:rPr>
      <w:rFonts w:ascii="Tahoma" w:hAnsi="Tahoma" w:cs="Tahoma"/>
      <w:sz w:val="20"/>
      <w:szCs w:val="20"/>
    </w:rPr>
  </w:style>
  <w:style w:type="paragraph" w:styleId="1028" w:customStyle="1">
    <w:name w:val="Char Char Char Char13"/>
    <w:basedOn w:val="944"/>
    <w:pPr>
      <w:pageBreakBefore w:val="true"/>
      <w:pBdr/>
      <w:spacing w:after="100" w:afterAutospacing="1" w:before="100" w:beforeAutospacing="1"/>
      <w:ind/>
    </w:pPr>
    <w:rPr>
      <w:rFonts w:ascii="Tahoma" w:hAnsi="Tahoma" w:cs="Tahoma"/>
      <w:sz w:val="20"/>
      <w:szCs w:val="20"/>
    </w:rPr>
  </w:style>
  <w:style w:type="paragraph" w:styleId="1029" w:customStyle="1">
    <w:name w:val="Char2"/>
    <w:basedOn w:val="944"/>
    <w:pPr>
      <w:pBdr/>
      <w:spacing w:after="160" w:line="240" w:lineRule="exact"/>
      <w:ind/>
    </w:pPr>
    <w:rPr>
      <w:sz w:val="20"/>
      <w:szCs w:val="20"/>
      <w:lang w:val="en-GB" w:eastAsia="zh-CN"/>
    </w:rPr>
  </w:style>
  <w:style w:type="character" w:styleId="1030">
    <w:name w:val="FollowedHyperlink"/>
    <w:uiPriority w:val="99"/>
    <w:unhideWhenUsed/>
    <w:pPr>
      <w:pBdr/>
      <w:spacing/>
      <w:ind/>
    </w:pPr>
    <w:rPr>
      <w:color w:val="800080"/>
      <w:u w:val="single"/>
    </w:rPr>
  </w:style>
  <w:style w:type="paragraph" w:styleId="1031" w:customStyle="1">
    <w:name w:val="Char Char1"/>
    <w:basedOn w:val="944"/>
    <w:pPr>
      <w:pBdr/>
      <w:spacing w:line="312" w:lineRule="auto"/>
      <w:ind w:firstLine="567"/>
      <w:jc w:val="both"/>
    </w:pPr>
    <w:rPr>
      <w:rFonts w:cs="Tahoma"/>
      <w:sz w:val="28"/>
      <w:szCs w:val="20"/>
    </w:rPr>
  </w:style>
  <w:style w:type="paragraph" w:styleId="1032" w:customStyle="1">
    <w:name w:val="Char Char Char Char12"/>
    <w:basedOn w:val="944"/>
    <w:pPr>
      <w:pageBreakBefore w:val="true"/>
      <w:pBdr/>
      <w:spacing w:after="100" w:afterAutospacing="1" w:before="100" w:beforeAutospacing="1"/>
      <w:ind/>
    </w:pPr>
    <w:rPr>
      <w:rFonts w:ascii="Tahoma" w:hAnsi="Tahoma" w:cs="Tahoma"/>
      <w:sz w:val="20"/>
      <w:szCs w:val="20"/>
    </w:rPr>
  </w:style>
  <w:style w:type="paragraph" w:styleId="1033" w:customStyle="1">
    <w:name w:val="Char Char Char Char11"/>
    <w:basedOn w:val="944"/>
    <w:pPr>
      <w:pageBreakBefore w:val="true"/>
      <w:pBdr/>
      <w:spacing w:after="100" w:afterAutospacing="1" w:before="100" w:beforeAutospacing="1"/>
      <w:ind/>
    </w:pPr>
    <w:rPr>
      <w:rFonts w:ascii="Tahoma" w:hAnsi="Tahoma" w:cs="Tahoma"/>
      <w:sz w:val="20"/>
      <w:szCs w:val="20"/>
    </w:rPr>
  </w:style>
  <w:style w:type="character" w:styleId="1034" w:customStyle="1">
    <w:name w:val="Văn bản nội dung (2)_"/>
    <w:link w:val="1035"/>
    <w:pPr>
      <w:pBdr/>
      <w:spacing/>
      <w:ind/>
    </w:pPr>
    <w:rPr>
      <w:rFonts w:ascii="Times New Roman" w:hAnsi="Times New Roman" w:eastAsia="Times New Roman" w:cs="Times New Roman"/>
      <w:b/>
      <w:bCs/>
      <w:sz w:val="19"/>
      <w:szCs w:val="19"/>
      <w:shd w:val="clear" w:color="auto" w:fill="ffffff"/>
    </w:rPr>
  </w:style>
  <w:style w:type="paragraph" w:styleId="1035" w:customStyle="1">
    <w:name w:val="Văn bản nội dung (2)"/>
    <w:basedOn w:val="944"/>
    <w:link w:val="1034"/>
    <w:pPr>
      <w:widowControl w:val="false"/>
      <w:pBdr/>
      <w:shd w:val="clear" w:color="auto" w:fill="ffffff"/>
      <w:spacing w:line="0" w:lineRule="atLeast"/>
      <w:ind/>
      <w:jc w:val="center"/>
    </w:pPr>
    <w:rPr>
      <w:b/>
      <w:bCs/>
      <w:sz w:val="19"/>
      <w:szCs w:val="19"/>
    </w:rPr>
  </w:style>
  <w:style w:type="character" w:styleId="1036" w:customStyle="1">
    <w:name w:val="Văn bản nội dung_"/>
    <w:link w:val="1037"/>
    <w:pPr>
      <w:pBdr/>
      <w:spacing/>
      <w:ind/>
    </w:pPr>
    <w:rPr>
      <w:rFonts w:ascii="Times New Roman" w:hAnsi="Times New Roman" w:eastAsia="Times New Roman" w:cs="Times New Roman"/>
      <w:sz w:val="21"/>
      <w:szCs w:val="21"/>
      <w:shd w:val="clear" w:color="auto" w:fill="ffffff"/>
    </w:rPr>
  </w:style>
  <w:style w:type="paragraph" w:styleId="1037" w:customStyle="1">
    <w:name w:val="Văn bản nội dung"/>
    <w:basedOn w:val="944"/>
    <w:link w:val="1036"/>
    <w:pPr>
      <w:widowControl w:val="false"/>
      <w:pBdr/>
      <w:shd w:val="clear" w:color="auto" w:fill="ffffff"/>
      <w:spacing w:line="336" w:lineRule="exact"/>
      <w:ind/>
    </w:pPr>
    <w:rPr>
      <w:sz w:val="21"/>
      <w:szCs w:val="21"/>
    </w:rPr>
  </w:style>
  <w:style w:type="paragraph" w:styleId="1038">
    <w:name w:val="footnote text"/>
    <w:basedOn w:val="944"/>
    <w:link w:val="1039"/>
    <w:uiPriority w:val="99"/>
    <w:semiHidden/>
    <w:unhideWhenUsed/>
    <w:pPr>
      <w:pBdr/>
      <w:spacing/>
      <w:ind/>
    </w:pPr>
    <w:rPr>
      <w:sz w:val="20"/>
      <w:szCs w:val="20"/>
    </w:rPr>
  </w:style>
  <w:style w:type="character" w:styleId="1039" w:customStyle="1">
    <w:name w:val="Footnote Text Char"/>
    <w:link w:val="1038"/>
    <w:uiPriority w:val="99"/>
    <w:semiHidden/>
    <w:pPr>
      <w:pBdr/>
      <w:spacing/>
      <w:ind/>
    </w:pPr>
    <w:rPr>
      <w:rFonts w:ascii="Times New Roman" w:hAnsi="Times New Roman" w:eastAsia="Times New Roman" w:cs="Times New Roman"/>
      <w:sz w:val="20"/>
      <w:szCs w:val="20"/>
      <w:lang w:val="en-US"/>
    </w:rPr>
  </w:style>
  <w:style w:type="character" w:styleId="1040">
    <w:name w:val="footnote reference"/>
    <w:uiPriority w:val="99"/>
    <w:semiHidden/>
    <w:unhideWhenUsed/>
    <w:pPr>
      <w:pBdr/>
      <w:spacing/>
      <w:ind/>
    </w:pPr>
    <w:rPr>
      <w:vertAlign w:val="superscript"/>
    </w:rPr>
  </w:style>
  <w:style w:type="paragraph" w:styleId="1041">
    <w:name w:val="endnote text"/>
    <w:basedOn w:val="944"/>
    <w:link w:val="1042"/>
    <w:uiPriority w:val="99"/>
    <w:semiHidden/>
    <w:unhideWhenUsed/>
    <w:pPr>
      <w:pBdr/>
      <w:spacing/>
      <w:ind/>
    </w:pPr>
    <w:rPr>
      <w:sz w:val="20"/>
      <w:szCs w:val="20"/>
    </w:rPr>
  </w:style>
  <w:style w:type="character" w:styleId="1042" w:customStyle="1">
    <w:name w:val="Endnote Text Char"/>
    <w:link w:val="1041"/>
    <w:uiPriority w:val="99"/>
    <w:semiHidden/>
    <w:pPr>
      <w:pBdr/>
      <w:spacing/>
      <w:ind/>
    </w:pPr>
    <w:rPr>
      <w:rFonts w:ascii="Times New Roman" w:hAnsi="Times New Roman" w:eastAsia="Times New Roman" w:cs="Times New Roman"/>
      <w:sz w:val="20"/>
      <w:szCs w:val="20"/>
      <w:lang w:val="en-US"/>
    </w:rPr>
  </w:style>
  <w:style w:type="character" w:styleId="1043">
    <w:name w:val="endnote reference"/>
    <w:uiPriority w:val="99"/>
    <w:semiHidden/>
    <w:unhideWhenUsed/>
    <w:pPr>
      <w:pBdr/>
      <w:spacing/>
      <w:ind/>
    </w:pPr>
    <w:rPr>
      <w:vertAlign w:val="superscript"/>
    </w:rPr>
  </w:style>
  <w:style w:type="character" w:styleId="1044" w:customStyle="1">
    <w:name w:val="List Paragraph Char"/>
    <w:link w:val="998"/>
    <w:uiPriority w:val="34"/>
    <w:qFormat/>
    <w:pPr>
      <w:pBdr/>
      <w:spacing/>
      <w:ind/>
    </w:pPr>
    <w:rPr>
      <w:rFonts w:ascii="Times New Roman" w:hAnsi="Times New Roman"/>
      <w:sz w:val="28"/>
      <w:szCs w:val="22"/>
    </w:rPr>
  </w:style>
  <w:style w:type="character" w:styleId="1045" w:customStyle="1">
    <w:name w:val="Văn bản nội dung + In đậm"/>
    <w:pPr>
      <w:pBdr/>
      <w:spacing/>
      <w:ind/>
    </w:pPr>
    <w:rPr>
      <w:rFonts w:ascii="Times New Roman" w:hAnsi="Times New Roman" w:eastAsia="Times New Roman" w:cs="Times New Roman"/>
      <w:b/>
      <w:bCs/>
      <w:i w:val="0"/>
      <w:iCs w:val="0"/>
      <w:smallCaps w:val="0"/>
      <w:strike w:val="0"/>
      <w:color w:val="000000"/>
      <w:spacing w:val="0"/>
      <w:position w:val="0"/>
      <w:sz w:val="21"/>
      <w:szCs w:val="21"/>
      <w:u w:val="none"/>
      <w:shd w:val="clear" w:color="auto" w:fill="ffffff"/>
      <w:lang w:val="vi-VN"/>
    </w:rPr>
  </w:style>
  <w:style w:type="paragraph" w:styleId="1046" w:customStyle="1">
    <w:name w:val="Char"/>
    <w:basedOn w:val="944"/>
    <w:pPr>
      <w:pBdr/>
      <w:spacing w:after="160" w:line="240" w:lineRule="exact"/>
      <w:ind/>
    </w:pPr>
    <w:rPr>
      <w:rFonts w:ascii="Tahoma" w:hAnsi="Tahoma" w:eastAsia="PMingLiU"/>
      <w:sz w:val="20"/>
      <w:szCs w:val="20"/>
    </w:rPr>
  </w:style>
  <w:style w:type="table" w:styleId="1047" w:customStyle="1">
    <w:name w:val="Lưới Bảng1"/>
    <w:basedOn w:val="955"/>
    <w:next w:val="974"/>
    <w:pPr>
      <w:pBdr/>
      <w:spacing/>
      <w:ind/>
    </w:pPr>
    <w:rPr>
      <w:rFonts w:asciiTheme="minorHAnsi" w:hAnsiTheme="minorHAnsi" w:eastAsiaTheme="minorHAnsi" w:cstheme="minorBidi"/>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Table Grid3"/>
    <w:basedOn w:val="955"/>
    <w:next w:val="974"/>
    <w:uiPriority w:val="59"/>
    <w:pPr>
      <w:pBdr/>
      <w:spacing/>
      <w:ind/>
    </w:pPr>
    <w:rPr>
      <w:rFonts w:ascii="Times New Roman" w:hAnsi="Times New Roman"/>
      <w:sz w:val="26"/>
      <w:szCs w:val="22"/>
      <w:lang w:val="en-GB"/>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49">
    <w:name w:val="Placeholder Text"/>
    <w:basedOn w:val="954"/>
    <w:uiPriority w:val="99"/>
    <w:semiHidden/>
    <w:pPr>
      <w:pBdr/>
      <w:spacing/>
      <w:ind/>
    </w:pPr>
    <w:rPr>
      <w:color w:val="808080"/>
    </w:rPr>
  </w:style>
  <w:style w:type="table" w:styleId="1050" w:customStyle="1">
    <w:name w:val="Table Grid1"/>
    <w:basedOn w:val="955"/>
    <w:next w:val="974"/>
    <w:uiPriority w:val="59"/>
    <w:pPr>
      <w:pBdr/>
      <w:spacing/>
      <w:ind/>
    </w:pPr>
    <w:rPr>
      <w:rFonts w:ascii="Times New Roman" w:hAnsi="Times New Roman" w:eastAsiaTheme="minorHAnsi"/>
      <w:sz w:val="24"/>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Table Grid2"/>
    <w:basedOn w:val="955"/>
    <w:next w:val="974"/>
    <w:uiPriority w:val="59"/>
    <w:pPr>
      <w:pBdr/>
      <w:spacing/>
      <w:ind/>
    </w:pPr>
    <w:rPr>
      <w:rFonts w:ascii="Times New Roman" w:hAnsi="Times New Roman"/>
      <w:sz w:val="26"/>
      <w:szCs w:val="26"/>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Table Grid12"/>
    <w:basedOn w:val="955"/>
    <w:next w:val="974"/>
    <w:uiPriority w:val="39"/>
    <w:pPr>
      <w:pBdr/>
      <w:spacing/>
      <w:ind/>
    </w:pPr>
    <w:rPr>
      <w:sz w:val="22"/>
      <w:szCs w:val="22"/>
      <w:lang w:val="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Table Grid31"/>
    <w:basedOn w:val="955"/>
    <w:next w:val="974"/>
    <w:uiPriority w:val="59"/>
    <w:pPr>
      <w:pBdr/>
      <w:spacing/>
      <w:ind/>
    </w:pPr>
    <w:rPr>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onlyoffice/9.2.1.8</Application>
  <DocSecurity>0</DocSecurity>
  <ScaleCrop>0</ScaleCrop>
  <HeadingPairs>
    <vt:vector size="0" baseType="variant"/>
  </HeadingPairs>
  <TitlesOfParts>
    <vt:vector size="0" baseType="lpstr"/>
  </TitlesOfParts>
  <Company>Agribank</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Quân Bùi (Guest)</cp:lastModifiedBy>
  <cp:revision>32</cp:revision>
  <dcterms:created xsi:type="dcterms:W3CDTF">2023-09-30T14:06:00Z</dcterms:created>
  <dcterms:modified xsi:type="dcterms:W3CDTF">2026-03-04T10:28:35Z</dcterms:modified>
</cp:coreProperties>
</file>