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CT HĐQT kiêm 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Trần Công Ý</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chung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1969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8</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03/2017</w:t>
            </w:r>
            <w:r>
              <w:rPr>
                <w:b w:val="0"/>
                <w:bCs w:val="0"/>
              </w:rPr>
              <w:t/>
            </w:r>
            <w:r>
              <w:rPr>
                <w:b w:val="0"/>
                <w:bCs w:val="0"/>
                <w:sz w:val="24"/>
                <w:szCs w:val="24"/>
              </w:rPr>
              <w:t/>
            </w:r>
            <w:r/>
            <w:r>
              <w:rPr>
                <w:b w:val="0"/>
                <w:bCs w:val="0"/>
              </w:rPr>
              <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21</cp:revision>
  <dcterms:created xsi:type="dcterms:W3CDTF">2023-09-30T14:06:00Z</dcterms:created>
  <dcterms:modified xsi:type="dcterms:W3CDTF">2026-03-03T01:22:29Z</dcterms:modified>
</cp:coreProperties>
</file>