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Công ty TNHH ĐT TM DV Út Huy;</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bCs/>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bCs/>
                <w:sz w:val="26"/>
                <w:szCs w:val="26"/>
              </w:rPr>
            </w:r>
            <w:r>
              <w:rPr>
                <w:bCs/>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rFonts w:ascii="Times New Roman" w:hAnsi="Times New Roman" w:cs="Times New Roman"/>
          <w:sz w:val="26"/>
          <w:szCs w:val="26"/>
        </w:rPr>
        <w:t xml:space="preserve"> số </w:t>
      </w:r>
      <w:r>
        <w:rPr>
          <w:rFonts w:ascii="Times New Roman" w:hAnsi="Times New Roman" w:cs="Times New Roman"/>
          <w:sz w:val="26"/>
          <w:szCs w:val="26"/>
        </w:rPr>
        <w:t xml:space="preserve">undefined</w:t>
      </w:r>
      <w:r>
        <w:rPr>
          <w:rFonts w:ascii="Times New Roman" w:hAnsi="Times New Roman" w:cs="Times New Roman"/>
          <w:sz w:val="26"/>
          <w:szCs w:val="26"/>
        </w:rPr>
        <w:t xml:space="preserve"> do </w:t>
      </w:r>
      <w:r>
        <w:rPr>
          <w:rFonts w:ascii="Times New Roman" w:hAnsi="Times New Roman" w:cs="Times New Roman"/>
          <w:sz w:val="26"/>
          <w:szCs w:val="26"/>
        </w:rPr>
        <w:t xml:space="preserve">undefined,</w:t>
      </w:r>
      <w:r>
        <w:rPr>
          <w:rFonts w:ascii="Times New Roman" w:hAnsi="Times New Roman" w:cs="Times New Roman"/>
          <w:sz w:val="26"/>
          <w:szCs w:val="26"/>
        </w:rPr>
        <w:t xml:space="preserve"> </w:t>
      </w:r>
      <w:r>
        <w:rPr>
          <w:rFonts w:ascii="Times New Roman" w:hAnsi="Times New Roman" w:cs="Times New Roman"/>
          <w:sz w:val="26"/>
          <w:szCs w:val="26"/>
        </w:rPr>
        <w:t xml:space="preserve">undefined</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undefined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068069003550 cấp ngày undefined. Nơi cấp: undefined</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Tổ 2 thôn Phát Chi, xã Trạm Hành, TP Đà Lạt (nay là phường Xuân Trường - Đà Lạt), Lâm Đồng</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undefined%</w:t>
            </w:r>
            <w:r>
              <w:rPr>
                <w:rFonts w:eastAsia="Calibri"/>
                <w:b w:val="0"/>
                <w:bCs w:val="0"/>
                <w:sz w:val="24"/>
                <w:szCs w:val="26"/>
              </w:rPr>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undefined</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undefined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undefined và các năm undefined,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undefined</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theo</w:t>
            </w:r>
            <w:r>
              <w:rPr>
                <w:rFonts w:ascii="Calibri" w:hAnsi="Calibri" w:cs="Calibri"/>
                <w:sz w:val="22"/>
                <w:szCs w:val="22"/>
              </w:rPr>
              <w:t xml:space="preserve"> </w:t>
            </w:r>
            <w:r>
              <w:rPr>
                <w:sz w:val="26"/>
                <w:szCs w:val="26"/>
              </w:rPr>
              <w:t xml:space="preserve">Giấy chứng nhận số: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nhãn hiệu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undefined do undefined phát hành ngày undefined, kỳ hạn undefined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Cán bộ quan hệ khách hàng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undefined, undefined.</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undefined - 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undefined</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undefined là undefined đồng</w:t>
      </w:r>
      <w:r>
        <w:rPr>
          <w:rFonts w:ascii="Times New Roman" w:hAnsi="Times New Roman" w:cs="Times New Roman"/>
          <w:sz w:val="26"/>
          <w:szCs w:val="26"/>
        </w:rPr>
        <w:t xml:space="preserve">, đến 31/12/undefined là undefined đồng, chênh lệch undefined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undefined là undefined đồng, đến 31/12/undefined là undefined đồng, chênh lệch undefined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undefined là undefined đồng, đến 31/12/undefined là undefined đồng, chênh lệch undefined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undefined là undefined đồng, đến 31/12/undefined là undefined đồng, chênh lệch undefined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undefined là undefined đồng, (giá trị hao mòn luỹ kế .......... triệu đồng); đến 31/12/undefined là undefined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undefined là undefined đồng, đến 31/12/undefined là undefined đồng, chênh lệch undefined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undefined thuế và các khoản nộp nhà n</w:t>
      </w:r>
      <w:r>
        <w:rPr>
          <w:rFonts w:ascii="Times New Roman" w:hAnsi="Times New Roman" w:cs="Times New Roman"/>
          <w:sz w:val="26"/>
          <w:szCs w:val="26"/>
        </w:rPr>
        <w:t xml:space="preserve">ước là undefined đồng, năm undefined là undefined đồng, chênh lệch undefined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7.000.000.000 đồng. Như vậy đến 31/12/undefined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undefined là undefined đồng, đến 31/12/undefined là undefined đồng, chênh lệch undefined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undefined-undefined</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undefined và năm undefined lần lượt là là undefined và undefined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undefined và năm undefined lần lượt là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Công ty TNHH ĐT TM DV Út Huy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undefined</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2026</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undefined)</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undefined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undefined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undefined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undefined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undefined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undefined)</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undefined%</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Công ty TNHH ĐT TM DV Út Huy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(undefined + undefined)* undefined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03 tháng 03 năm 2026</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21</cp:revision>
  <dcterms:created xsi:type="dcterms:W3CDTF">2023-09-30T14:06:00Z</dcterms:created>
  <dcterms:modified xsi:type="dcterms:W3CDTF">2026-03-03T01:22:29Z</dcterms:modified>
</cp:coreProperties>
</file>