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14:paraId="0E19C16E">
      <w:pPr>
        <w:pBdr>
          <w:top w:val="none" w:color="000000" w:sz="4" w:space="0"/>
          <w:left w:val="none" w:color="000000" w:sz="4" w:space="0"/>
          <w:bottom w:val="none" w:color="000000" w:sz="4" w:space="0"/>
          <w:right w:val="none" w:color="000000" w:sz="4" w:space="0"/>
        </w:pBdr>
        <w:spacing w:after="0" w:line="288" w:lineRule="auto"/>
        <w:ind w:right="0" w:firstLine="540" w:left="0"/>
        <w:jc w:val="both"/>
        <w:rPr/>
      </w:pPr>
      <w:r>
        <w:rPr>
          <w:rFonts w:ascii="Times New Roman" w:hAnsi="Times New Roman" w:eastAsia="Times New Roman" w:cs="Times New Roman"/>
          <w:i/>
          <w:color w:val="000000"/>
          <w:sz w:val="26"/>
        </w:rPr>
        <w:t xml:space="preserve">Căn cứ Quy chế số 656/QC-HĐTV- TD ngày 31/8/2023 của Hội đồng thành viên về việc ban hành quy chế cho vay đối với khách hàng trong hệ thống Agribank; Quy chế 579/QC-HĐTV-TD ngày 28/6/2024 của Hội đồng thành viên về việc sửa đổi, bổ sung một số điều của Quy</w:t>
      </w:r>
      <w:r>
        <w:rPr>
          <w:rFonts w:ascii="Times New Roman" w:hAnsi="Times New Roman" w:eastAsia="Times New Roman" w:cs="Times New Roman"/>
          <w:i/>
          <w:color w:val="000000"/>
          <w:sz w:val="26"/>
        </w:rPr>
        <w:t xml:space="preserve"> chế số 656/QC-HĐTV- TD ngày 31/8/2023; Quy chế số 1546/QC-HĐTV-TD ngày 27/12/2024 của Hội đồng thành viên về việc sửa đổi, bổ sung một số điều của Quy chế số 656/QC-HĐTV- TD ngày 31/8/2023;</w:t>
      </w:r>
      <w:r/>
    </w:p>
    <w:p w14:paraId="784954AC">
      <w:pPr>
        <w:pBdr>
          <w:top w:val="none" w:color="000000" w:sz="4" w:space="0"/>
          <w:left w:val="none" w:color="000000" w:sz="4" w:space="0"/>
          <w:bottom w:val="none" w:color="000000" w:sz="4" w:space="0"/>
          <w:right w:val="none" w:color="000000" w:sz="4" w:space="0"/>
        </w:pBdr>
        <w:spacing w:after="0" w:line="288" w:lineRule="auto"/>
        <w:ind w:right="0" w:firstLine="540" w:left="0"/>
        <w:jc w:val="both"/>
        <w:rPr/>
      </w:pPr>
      <w:r>
        <w:rPr>
          <w:rFonts w:ascii="Times New Roman" w:hAnsi="Times New Roman" w:eastAsia="Times New Roman" w:cs="Times New Roman"/>
          <w:i/>
          <w:color w:val="000000"/>
          <w:sz w:val="26"/>
        </w:rPr>
        <w:t xml:space="preserve">Căn cứ Quy định số 2268/QyĐ-NHNo-TD ngày 19/9/2023 của Tổng Giám đốc về quy định cho vay đối với khách hàng trong hệ thống Agribank; quy định số 4466/QyĐ-NHNo-TD ngày 31/12/2024 của Tổng Giám đốc về việc sửa đổi bổ sung một số điều của Quy định số 2268/QyĐ</w:t>
      </w:r>
      <w:r>
        <w:rPr>
          <w:rFonts w:ascii="Times New Roman" w:hAnsi="Times New Roman" w:eastAsia="Times New Roman" w:cs="Times New Roman"/>
          <w:i/>
          <w:color w:val="000000"/>
          <w:sz w:val="26"/>
        </w:rPr>
        <w:t xml:space="preserve">-NHNo-TD ngày 19/9/2023; Quy định số 1799/QC-HĐTV-TD ngày 27/6/2025 của Tổng giám đốc về việc sửa đổi, bổ sung một số điều của Quy định số 2268/QyĐ-NHNo-TD ngày 19/9/2023;</w:t>
      </w:r>
      <w:r/>
    </w:p>
    <w:p w14:paraId="3CA91795">
      <w:pPr>
        <w:pBdr>
          <w:top w:val="none" w:color="000000" w:sz="4" w:space="0"/>
          <w:left w:val="none" w:color="000000" w:sz="4" w:space="0"/>
          <w:bottom w:val="none" w:color="000000" w:sz="4" w:space="0"/>
          <w:right w:val="none" w:color="000000" w:sz="4" w:space="0"/>
        </w:pBdr>
        <w:spacing w:after="0" w:line="288" w:lineRule="auto"/>
        <w:ind w:right="0" w:firstLine="540" w:left="0"/>
        <w:jc w:val="both"/>
        <w:rPr/>
      </w:pPr>
      <w:r>
        <w:rPr>
          <w:rFonts w:ascii="Times New Roman" w:hAnsi="Times New Roman" w:eastAsia="Times New Roman" w:cs="Times New Roman"/>
          <w:i/>
          <w:color w:val="000000"/>
          <w:sz w:val="26"/>
        </w:rPr>
        <w:tab/>
        <w:t xml:space="preserve">Căn cứ Quy định số 996/QyĐ-HĐTV-TD ngày 29/8/2024 của Hội đồng thành viên Agribank về thẩm quyền cấp tín dụng trong hệ thống Agribank;Căn cứ Quyết định số 4199/QyĐ-NHNo-TD ngày 11/12/2024 của Tổng giám đốc Agribank quy định một số nội dung về thẩm quyền c</w:t>
      </w:r>
      <w:r>
        <w:rPr>
          <w:rFonts w:ascii="Times New Roman" w:hAnsi="Times New Roman" w:eastAsia="Times New Roman" w:cs="Times New Roman"/>
          <w:i/>
          <w:color w:val="000000"/>
          <w:sz w:val="26"/>
        </w:rPr>
        <w:t xml:space="preserve">ấp tín dụng trong hệ thống Agribank; Thông báo số 20222/NHNo-TD ngày 31/12/2024 của Tổng giám đốc Agribank về thẩm quyền cấp tín dụng năm 2025; Thông báo số 2697/NHNo.LĐ-TĐ ngày 31/12/2024 của Giám đốc Agribank chi nhánh tỉnh Lâm Đồng về thẩm quyền cấp tín</w:t>
      </w:r>
      <w:r>
        <w:rPr>
          <w:rFonts w:ascii="Times New Roman" w:hAnsi="Times New Roman" w:eastAsia="Times New Roman" w:cs="Times New Roman"/>
          <w:i/>
          <w:color w:val="000000"/>
          <w:sz w:val="26"/>
        </w:rPr>
        <w:t xml:space="preserve"> dụng năm 2025 của các đơn vị trực thuộc;</w:t>
      </w:r>
      <w:r/>
    </w:p>
    <w:p>
      <w:pPr>
        <w:pBdr/>
        <w:spacing/>
        <w:ind w:right="0" w:firstLine="540" w:left="0"/>
        <w:jc w:val="both"/>
        <w:rPr>
          <w:rFonts w:eastAsia="Calibri"/>
          <w:bCs/>
          <w:i/>
          <w:sz w:val="26"/>
          <w:szCs w:val="26"/>
        </w:rPr>
      </w:pPr>
      <w:r>
        <w:rPr>
          <w:rFonts w:ascii="Times New Roman" w:hAnsi="Times New Roman" w:eastAsia="Times New Roman" w:cs="Times New Roman"/>
          <w:i/>
          <w:color w:val="000000"/>
          <w:sz w:val="26"/>
        </w:rPr>
        <w:tab/>
        <w:t xml:space="preserve">Căn cứ vào hồ sơ vay vốn của khách hàng.</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14:paraId="5634585C">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Bán buôn nhiên liệu rắn, lỏng, khí; Kinh doanh VLXD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0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Nhóm 1</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sz w:val="26"/>
          <w:szCs w:val="26"/>
          <w:highlight w:val="none"/>
        </w:rPr>
      </w:pPr>
      <w:r>
        <w:rPr>
          <w:sz w:val="26"/>
          <w:szCs w:val="26"/>
        </w:rPr>
        <w:t xml:space="preserve">- Kết quả kinh doanh, doanh thu, lợi nhuận trong 3 năm liền kề:</w:t>
      </w:r>
      <w:r>
        <w:rPr>
          <w:sz w:val="26"/>
          <w:szCs w:val="26"/>
          <w:highlight w:val="none"/>
        </w:rPr>
      </w:r>
    </w:p>
    <w:p w14:paraId="68AD2F5D">
      <w:pPr>
        <w:pBdr/>
        <w:spacing/>
        <w:ind w:firstLine="567"/>
        <w:jc w:val="right"/>
        <w:rPr>
          <w:sz w:val="26"/>
          <w:szCs w:val="26"/>
          <w:highlight w:val="none"/>
        </w:rPr>
      </w:pPr>
      <w:r>
        <w:rPr>
          <w:sz w:val="26"/>
          <w:szCs w:val="26"/>
          <w:highlight w:val="none"/>
        </w:rPr>
        <w:t xml:space="preserve">Đơn vị: triệu đồng</w:t>
      </w:r>
      <w:r>
        <w:rPr>
          <w:sz w:val="26"/>
          <w:szCs w:val="26"/>
          <w:highlight w:val="none"/>
        </w:rPr>
      </w:r>
    </w:p>
    <w:tbl>
      <w:tblPr>
        <w:tblStyle w:val="974"/>
        <w:tblInd w:w="0" w:type="dxa"/>
        <w:tblW w:w="5000" w:type="pct"/>
        <w:tblCellMar>
          <w:left w:w="108" w:type="dxa"/>
          <w:top w:w="0" w:type="dxa"/>
          <w:right w:w="108"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34"/>
        <w:gridCol w:w="4639"/>
        <w:gridCol w:w="1564"/>
        <w:gridCol w:w="1309"/>
        <w:gridCol w:w="1307"/>
      </w:tblGrid>
      <w:tr>
        <w:trPr>
          <w:trHeight w:val="73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34" w:type="dxa"/>
            <w:vAlign w:val="center"/>
            <w:textDirection w:val="lrTb"/>
            <w:noWrap/>
          </w:tcPr>
          <w:p w14:paraId="45FAB656">
            <w:pPr>
              <w:pBdr>
                <w:top w:val="none" w:color="000000" w:sz="4" w:space="0"/>
                <w:left w:val="none" w:color="000000" w:sz="4" w:space="0"/>
                <w:bottom w:val="none" w:color="000000" w:sz="4" w:space="0"/>
                <w:right w:val="none" w:color="000000" w:sz="4" w:space="0"/>
              </w:pBdr>
              <w:spacing/>
              <w:ind w:right="0" w:firstLine="0" w:left="0"/>
              <w:jc w:val="center"/>
              <w:rPr>
                <w:sz w:val="24"/>
                <w:szCs w:val="24"/>
              </w:rPr>
            </w:pPr>
            <w:r>
              <w:rPr>
                <w:rFonts w:ascii="Times New Roman" w:hAnsi="Times New Roman" w:eastAsia="Times New Roman" w:cs="Times New Roman"/>
                <w:b/>
                <w:color w:val="000000"/>
                <w:sz w:val="24"/>
                <w:szCs w:val="24"/>
              </w:rPr>
              <w:t xml:space="preserve">TT</w:t>
            </w:r>
            <w:r>
              <w:rPr>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39" w:type="dxa"/>
            <w:vAlign w:val="center"/>
            <w:textDirection w:val="lrTb"/>
            <w:noWrap w:val="false"/>
          </w:tcPr>
          <w:p w14:paraId="2206D4C9">
            <w:pPr>
              <w:pBdr>
                <w:top w:val="none" w:color="000000" w:sz="4" w:space="0"/>
                <w:left w:val="none" w:color="000000" w:sz="4" w:space="0"/>
                <w:bottom w:val="none" w:color="000000" w:sz="4" w:space="0"/>
                <w:right w:val="none" w:color="000000" w:sz="4" w:space="0"/>
              </w:pBdr>
              <w:spacing/>
              <w:ind w:right="0" w:firstLine="0" w:left="0"/>
              <w:jc w:val="center"/>
              <w:rPr>
                <w:sz w:val="24"/>
                <w:szCs w:val="24"/>
              </w:rPr>
            </w:pPr>
            <w:r>
              <w:rPr>
                <w:rFonts w:ascii="Times New Roman" w:hAnsi="Times New Roman" w:eastAsia="Times New Roman" w:cs="Times New Roman"/>
                <w:b/>
                <w:color w:val="000000"/>
                <w:sz w:val="24"/>
                <w:szCs w:val="24"/>
              </w:rPr>
              <w:t xml:space="preserve">Chỉ tiêu</w:t>
            </w:r>
            <w:r>
              <w:rPr>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64" w:type="dxa"/>
            <w:vAlign w:val="center"/>
            <w:textDirection w:val="lrTb"/>
            <w:noWrap w:val="false"/>
          </w:tcPr>
          <w:p w14:paraId="7BA172CA">
            <w:pPr>
              <w:pBdr>
                <w:top w:val="none" w:color="000000" w:sz="4" w:space="0"/>
                <w:left w:val="none" w:color="000000" w:sz="4" w:space="0"/>
                <w:bottom w:val="none" w:color="000000" w:sz="4" w:space="0"/>
                <w:right w:val="none" w:color="000000" w:sz="4" w:space="0"/>
              </w:pBdr>
              <w:spacing/>
              <w:ind w:right="0" w:firstLine="0" w:left="0"/>
              <w:jc w:val="center"/>
              <w:rPr>
                <w:sz w:val="24"/>
                <w:szCs w:val="24"/>
              </w:rPr>
            </w:pPr>
            <w:r>
              <w:rPr>
                <w:rFonts w:ascii="Times New Roman" w:hAnsi="Times New Roman" w:eastAsia="Times New Roman" w:cs="Times New Roman"/>
                <w:b/>
                <w:color w:val="000000"/>
                <w:sz w:val="24"/>
                <w:szCs w:val="24"/>
              </w:rPr>
              <w:t xml:space="preserve">Năm 2022</w:t>
            </w:r>
            <w:r>
              <w:rPr>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09" w:type="dxa"/>
            <w:vAlign w:val="center"/>
            <w:textDirection w:val="lrTb"/>
            <w:noWrap w:val="false"/>
          </w:tcPr>
          <w:p w14:paraId="1518DD7B">
            <w:pPr>
              <w:pBdr>
                <w:top w:val="none" w:color="000000" w:sz="4" w:space="0"/>
                <w:left w:val="none" w:color="000000" w:sz="4" w:space="0"/>
                <w:bottom w:val="none" w:color="000000" w:sz="4" w:space="0"/>
                <w:right w:val="none" w:color="000000" w:sz="4" w:space="0"/>
              </w:pBdr>
              <w:spacing/>
              <w:ind w:right="0" w:firstLine="0" w:left="0"/>
              <w:jc w:val="center"/>
              <w:rPr>
                <w:sz w:val="24"/>
                <w:szCs w:val="24"/>
              </w:rPr>
            </w:pPr>
            <w:r>
              <w:rPr>
                <w:rFonts w:ascii="Times New Roman" w:hAnsi="Times New Roman" w:eastAsia="Times New Roman" w:cs="Times New Roman"/>
                <w:b/>
                <w:color w:val="000000"/>
                <w:sz w:val="24"/>
                <w:szCs w:val="24"/>
              </w:rPr>
              <w:t xml:space="preserve">Năm 2023</w:t>
            </w:r>
            <w:r>
              <w:rPr>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07" w:type="dxa"/>
            <w:vAlign w:val="center"/>
            <w:textDirection w:val="lrTb"/>
            <w:noWrap w:val="false"/>
          </w:tcPr>
          <w:p w14:paraId="13C45D75">
            <w:pPr>
              <w:pBdr>
                <w:top w:val="none" w:color="000000" w:sz="4" w:space="0"/>
                <w:left w:val="none" w:color="000000" w:sz="4" w:space="0"/>
                <w:bottom w:val="none" w:color="000000" w:sz="4" w:space="0"/>
                <w:right w:val="none" w:color="000000" w:sz="4" w:space="0"/>
              </w:pBdr>
              <w:spacing/>
              <w:ind w:right="0" w:firstLine="0" w:left="0"/>
              <w:jc w:val="center"/>
              <w:rPr>
                <w:sz w:val="24"/>
                <w:szCs w:val="24"/>
              </w:rPr>
            </w:pPr>
            <w:r>
              <w:rPr>
                <w:rFonts w:ascii="Times New Roman" w:hAnsi="Times New Roman" w:eastAsia="Times New Roman" w:cs="Times New Roman"/>
                <w:b/>
                <w:color w:val="000000"/>
                <w:sz w:val="24"/>
                <w:szCs w:val="24"/>
              </w:rPr>
              <w:t xml:space="preserve">Năm 2024</w:t>
            </w:r>
            <w:r>
              <w:rPr>
                <w:sz w:val="24"/>
                <w:szCs w:val="24"/>
              </w:rPr>
            </w:r>
          </w:p>
        </w:tc>
      </w:tr>
      <w:tr>
        <w:trPr>
          <w:trHeight w:val="34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34" w:type="dxa"/>
            <w:vAlign w:val="center"/>
            <w:textDirection w:val="lrTb"/>
            <w:noWrap/>
          </w:tcPr>
          <w:p w14:paraId="5D48DCFC">
            <w:pPr>
              <w:pBdr>
                <w:top w:val="none" w:color="000000" w:sz="4" w:space="0"/>
                <w:left w:val="none" w:color="000000" w:sz="4" w:space="0"/>
                <w:bottom w:val="none" w:color="000000" w:sz="4" w:space="0"/>
                <w:right w:val="none" w:color="000000" w:sz="4" w:space="0"/>
              </w:pBdr>
              <w:spacing/>
              <w:ind w:right="0" w:firstLine="0" w:left="0"/>
              <w:jc w:val="center"/>
              <w:rPr>
                <w:sz w:val="24"/>
                <w:szCs w:val="24"/>
              </w:rPr>
            </w:pPr>
            <w:r>
              <w:rPr>
                <w:rFonts w:ascii="Times New Roman" w:hAnsi="Times New Roman" w:eastAsia="Times New Roman" w:cs="Times New Roman"/>
                <w:color w:val="000000"/>
                <w:sz w:val="24"/>
                <w:szCs w:val="24"/>
              </w:rPr>
              <w:t xml:space="preserve">1</w:t>
            </w:r>
            <w:r>
              <w:rPr>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39" w:type="dxa"/>
            <w:vAlign w:val="center"/>
            <w:textDirection w:val="lrTb"/>
            <w:noWrap w:val="false"/>
          </w:tcPr>
          <w:p w14:paraId="0EEEF0CF">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color w:val="000000"/>
                <w:sz w:val="24"/>
                <w:szCs w:val="24"/>
              </w:rPr>
              <w:t xml:space="preserve">Doanh thu thuần về bán hàng và cung cấp dịch vụ</w:t>
            </w:r>
            <w:r>
              <w:rPr>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64" w:type="dxa"/>
            <w:vAlign w:val="center"/>
            <w:textDirection w:val="lrTb"/>
            <w:noWrap w:val="false"/>
          </w:tcPr>
          <w:p w14:paraId="2E2FC3FA">
            <w:pPr>
              <w:pBdr/>
              <w:spacing/>
              <w:ind/>
              <w:rPr/>
            </w:p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09" w:type="dxa"/>
            <w:vAlign w:val="center"/>
            <w:textDirection w:val="lrTb"/>
            <w:noWrap w:val="false"/>
          </w:tcPr>
          <w:p w14:paraId="7912C253">
            <w:pPr>
              <w:pBdr/>
              <w:spacing/>
              <w:ind/>
              <w:rPr/>
            </w:p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07" w:type="dxa"/>
            <w:vAlign w:val="center"/>
            <w:textDirection w:val="lrTb"/>
            <w:noWrap w:val="false"/>
          </w:tcPr>
          <w:p w14:paraId="0EFF0EB3">
            <w:pPr>
              <w:pBdr/>
              <w:spacing/>
              <w:ind/>
              <w:rPr/>
            </w:pPr>
            <w:r/>
            <w:r/>
          </w:p>
        </w:tc>
      </w:tr>
      <w:tr>
        <w:trPr>
          <w:trHeight w:val="34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34" w:type="dxa"/>
            <w:vAlign w:val="center"/>
            <w:textDirection w:val="lrTb"/>
            <w:noWrap/>
          </w:tcPr>
          <w:p w14:paraId="14CEE781">
            <w:pPr>
              <w:pBdr>
                <w:top w:val="none" w:color="000000" w:sz="4" w:space="0"/>
                <w:left w:val="none" w:color="000000" w:sz="4" w:space="0"/>
                <w:bottom w:val="none" w:color="000000" w:sz="4" w:space="0"/>
                <w:right w:val="none" w:color="000000" w:sz="4" w:space="0"/>
              </w:pBdr>
              <w:spacing/>
              <w:ind w:right="0" w:firstLine="0" w:left="0"/>
              <w:jc w:val="center"/>
              <w:rPr>
                <w:sz w:val="24"/>
                <w:szCs w:val="24"/>
              </w:rPr>
            </w:pPr>
            <w:r>
              <w:rPr>
                <w:rFonts w:ascii="Times New Roman" w:hAnsi="Times New Roman" w:eastAsia="Times New Roman" w:cs="Times New Roman"/>
                <w:color w:val="000000"/>
                <w:sz w:val="24"/>
                <w:szCs w:val="24"/>
              </w:rPr>
              <w:t xml:space="preserve">2</w:t>
            </w:r>
            <w:r>
              <w:rPr>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39" w:type="dxa"/>
            <w:vAlign w:val="center"/>
            <w:textDirection w:val="lrTb"/>
            <w:noWrap w:val="false"/>
          </w:tcPr>
          <w:p w14:paraId="1805AAE4">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color w:val="000000"/>
                <w:sz w:val="24"/>
                <w:szCs w:val="24"/>
              </w:rPr>
              <w:t xml:space="preserve">Lợi nhuận gộp về bán hàng và cung cấp dịch vụ</w:t>
            </w:r>
            <w:r>
              <w:rPr>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64" w:type="dxa"/>
            <w:vAlign w:val="center"/>
            <w:textDirection w:val="lrTb"/>
            <w:noWrap w:val="false"/>
          </w:tcPr>
          <w:p w14:paraId="5D49BB55">
            <w:pPr>
              <w:pBdr/>
              <w:spacing/>
              <w:ind/>
              <w:rPr/>
            </w:p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09" w:type="dxa"/>
            <w:vAlign w:val="center"/>
            <w:textDirection w:val="lrTb"/>
            <w:noWrap w:val="false"/>
          </w:tcPr>
          <w:p w14:paraId="54C3090E">
            <w:pPr>
              <w:pBdr/>
              <w:spacing/>
              <w:ind/>
              <w:rPr/>
            </w:p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07" w:type="dxa"/>
            <w:vAlign w:val="center"/>
            <w:textDirection w:val="lrTb"/>
            <w:noWrap w:val="false"/>
          </w:tcPr>
          <w:p w14:paraId="03F5A414">
            <w:pPr>
              <w:pBdr/>
              <w:spacing/>
              <w:ind/>
              <w:rPr/>
            </w:pPr>
            <w:r/>
            <w:r/>
          </w:p>
        </w:tc>
      </w:tr>
      <w:tr>
        <w:trPr>
          <w:trHeight w:val="34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34" w:type="dxa"/>
            <w:vAlign w:val="center"/>
            <w:textDirection w:val="lrTb"/>
            <w:noWrap/>
          </w:tcPr>
          <w:p w14:paraId="65E59716">
            <w:pPr>
              <w:pBdr>
                <w:top w:val="none" w:color="000000" w:sz="4" w:space="0"/>
                <w:left w:val="none" w:color="000000" w:sz="4" w:space="0"/>
                <w:bottom w:val="none" w:color="000000" w:sz="4" w:space="0"/>
                <w:right w:val="none" w:color="000000" w:sz="4" w:space="0"/>
              </w:pBdr>
              <w:spacing/>
              <w:ind w:right="0" w:firstLine="0" w:left="0"/>
              <w:jc w:val="center"/>
              <w:rPr>
                <w:sz w:val="24"/>
                <w:szCs w:val="24"/>
              </w:rPr>
            </w:pPr>
            <w:r>
              <w:rPr>
                <w:rFonts w:ascii="Times New Roman" w:hAnsi="Times New Roman" w:eastAsia="Times New Roman" w:cs="Times New Roman"/>
                <w:color w:val="000000"/>
                <w:sz w:val="24"/>
                <w:szCs w:val="24"/>
              </w:rPr>
              <w:t xml:space="preserve">3</w:t>
            </w:r>
            <w:r>
              <w:rPr>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39" w:type="dxa"/>
            <w:vAlign w:val="center"/>
            <w:textDirection w:val="lrTb"/>
            <w:noWrap w:val="false"/>
          </w:tcPr>
          <w:p w14:paraId="4DA6D87B">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color w:val="000000"/>
                <w:sz w:val="24"/>
                <w:szCs w:val="24"/>
              </w:rPr>
              <w:t xml:space="preserve">Lợi nhuận thuần từ hoạt động kinh doanh</w:t>
            </w:r>
            <w:r>
              <w:rPr>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64" w:type="dxa"/>
            <w:vAlign w:val="center"/>
            <w:textDirection w:val="lrTb"/>
            <w:noWrap w:val="false"/>
          </w:tcPr>
          <w:p w14:paraId="3E4CDDD2">
            <w:pPr>
              <w:pBdr/>
              <w:spacing/>
              <w:ind/>
              <w:rPr/>
            </w:p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09" w:type="dxa"/>
            <w:vAlign w:val="center"/>
            <w:textDirection w:val="lrTb"/>
            <w:noWrap w:val="false"/>
          </w:tcPr>
          <w:p w14:paraId="39703809">
            <w:pPr>
              <w:pBdr/>
              <w:spacing/>
              <w:ind/>
              <w:rPr/>
            </w:p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07" w:type="dxa"/>
            <w:vAlign w:val="center"/>
            <w:textDirection w:val="lrTb"/>
            <w:noWrap w:val="false"/>
          </w:tcPr>
          <w:p w14:paraId="68C6F7DF">
            <w:pPr>
              <w:pBdr/>
              <w:spacing/>
              <w:ind/>
              <w:rPr/>
            </w:pPr>
            <w:r/>
            <w:r/>
          </w:p>
        </w:tc>
      </w:tr>
      <w:tr>
        <w:trPr>
          <w:trHeight w:val="34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34" w:type="dxa"/>
            <w:vAlign w:val="center"/>
            <w:textDirection w:val="lrTb"/>
            <w:noWrap/>
          </w:tcPr>
          <w:p w14:paraId="306DA739">
            <w:pPr>
              <w:pBdr>
                <w:top w:val="none" w:color="000000" w:sz="4" w:space="0"/>
                <w:left w:val="none" w:color="000000" w:sz="4" w:space="0"/>
                <w:bottom w:val="none" w:color="000000" w:sz="4" w:space="0"/>
                <w:right w:val="none" w:color="000000" w:sz="4" w:space="0"/>
              </w:pBdr>
              <w:spacing/>
              <w:ind w:right="0" w:firstLine="0" w:left="0"/>
              <w:jc w:val="center"/>
              <w:rPr>
                <w:sz w:val="24"/>
                <w:szCs w:val="24"/>
              </w:rPr>
            </w:pPr>
            <w:r>
              <w:rPr>
                <w:rFonts w:ascii="Times New Roman" w:hAnsi="Times New Roman" w:eastAsia="Times New Roman" w:cs="Times New Roman"/>
                <w:color w:val="000000"/>
                <w:sz w:val="24"/>
                <w:szCs w:val="24"/>
              </w:rPr>
              <w:t xml:space="preserve">4</w:t>
            </w:r>
            <w:r>
              <w:rPr>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39" w:type="dxa"/>
            <w:vAlign w:val="center"/>
            <w:textDirection w:val="lrTb"/>
            <w:noWrap w:val="false"/>
          </w:tcPr>
          <w:p w14:paraId="3B0518A0">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color w:val="000000"/>
                <w:sz w:val="24"/>
                <w:szCs w:val="24"/>
              </w:rPr>
              <w:t xml:space="preserve">Lợi nhuận sau thuế</w:t>
            </w:r>
            <w:r>
              <w:rPr>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64" w:type="dxa"/>
            <w:vAlign w:val="center"/>
            <w:textDirection w:val="lrTb"/>
            <w:noWrap w:val="false"/>
          </w:tcPr>
          <w:p w14:paraId="174C328D">
            <w:pPr>
              <w:pBdr/>
              <w:spacing/>
              <w:ind/>
              <w:rPr/>
            </w:p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09" w:type="dxa"/>
            <w:vAlign w:val="center"/>
            <w:textDirection w:val="lrTb"/>
            <w:noWrap w:val="false"/>
          </w:tcPr>
          <w:p w14:paraId="4CCD9C66">
            <w:pPr>
              <w:pBdr/>
              <w:spacing/>
              <w:ind/>
              <w:rPr/>
            </w:p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07" w:type="dxa"/>
            <w:vAlign w:val="center"/>
            <w:textDirection w:val="lrTb"/>
            <w:noWrap w:val="false"/>
          </w:tcPr>
          <w:p w14:paraId="27E60DF8">
            <w:pPr>
              <w:pBdr/>
              <w:spacing/>
              <w:ind/>
              <w:rPr/>
            </w:pPr>
            <w:r/>
            <w:r/>
          </w:p>
        </w:tc>
      </w:tr>
    </w:tbl>
    <w:p w14:paraId="0CE4BAD2">
      <w:pPr>
        <w:pBdr/>
        <w:spacing/>
        <w:ind w:firstLine="567"/>
        <w:jc w:val="both"/>
        <w:rPr>
          <w:rFonts w:eastAsia="Calibri"/>
          <w:sz w:val="26"/>
          <w:szCs w:val="26"/>
        </w:rPr>
      </w:pPr>
      <w:r>
        <w:rPr>
          <w:sz w:val="26"/>
          <w:szCs w:val="26"/>
          <w:highlight w:val="none"/>
        </w:rPr>
      </w:r>
      <w:r>
        <w:rPr>
          <w:sz w:val="26"/>
          <w:szCs w:val="26"/>
          <w:highlight w:val="none"/>
        </w:rPr>
      </w:r>
      <w:r>
        <w:rPr>
          <w:sz w:val="26"/>
          <w:szCs w:val="26"/>
          <w:highlight w:val="none"/>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Giấy chứng nhận đăng ký doanh nghiệp</w:t>
      </w:r>
      <w:r>
        <w:rPr>
          <w:rFonts w:ascii="Times New Roman" w:hAnsi="Times New Roman" w:cs="Times New Roman"/>
          <w:sz w:val="26"/>
          <w:szCs w:val="26"/>
        </w:rPr>
        <w:t xml:space="preserve"> số </w:t>
      </w:r>
      <w:r>
        <w:rPr>
          <w:rFonts w:ascii="Times New Roman" w:hAnsi="Times New Roman" w:cs="Times New Roman"/>
          <w:sz w:val="26"/>
          <w:szCs w:val="26"/>
        </w:rPr>
        <w:t xml:space="preserve"> 5800545361</w:t>
      </w:r>
      <w:r>
        <w:rPr>
          <w:rFonts w:ascii="Times New Roman" w:hAnsi="Times New Roman" w:cs="Times New Roman"/>
          <w:sz w:val="26"/>
          <w:szCs w:val="26"/>
        </w:rPr>
        <w:t xml:space="preserve"> do </w:t>
      </w:r>
      <w:r>
        <w:rPr>
          <w:rFonts w:ascii="Times New Roman" w:hAnsi="Times New Roman" w:cs="Times New Roman"/>
          <w:sz w:val="26"/>
          <w:szCs w:val="26"/>
        </w:rPr>
        <w:t xml:space="preserve">Sở Kế hoạch và Đầu tư tỉnh Lâm Đồng</w:t>
      </w:r>
      <w:r>
        <w:rPr>
          <w:rFonts w:ascii="Times New Roman" w:hAnsi="Times New Roman" w:cs="Times New Roman"/>
          <w:sz w:val="26"/>
          <w:szCs w:val="26"/>
        </w:rPr>
        <w:t xml:space="preserve">,</w:t>
      </w:r>
      <w:r>
        <w:rPr>
          <w:rFonts w:ascii="Times New Roman" w:hAnsi="Times New Roman" w:cs="Times New Roman"/>
          <w:sz w:val="26"/>
          <w:szCs w:val="26"/>
        </w:rPr>
        <w:t xml:space="preserve"> </w:t>
      </w:r>
      <w:r>
        <w:rPr>
          <w:rFonts w:ascii="Times New Roman" w:hAnsi="Times New Roman" w:cs="Times New Roman"/>
          <w:sz w:val="26"/>
          <w:szCs w:val="26"/>
        </w:rPr>
        <w:t xml:space="preserve">cấp lần đầu ngày 12/11/2007, đăng ký thay đổi lần thứ 5 ngày 27/4/2017</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w:t>
      </w:r>
      <w:r>
        <w:rPr>
          <w:sz w:val="26"/>
          <w:szCs w:val="26"/>
        </w:rPr>
        <w:t xml:space="preserve">Thiều Thị Thu Loan</w:t>
      </w:r>
      <w:r>
        <w:rPr>
          <w:sz w:val="26"/>
          <w:szCs w:val="26"/>
        </w:rPr>
        <w:t xml:space="preserve">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w:t>
      </w:r>
      <w:r>
        <w:rPr>
          <w:sz w:val="26"/>
          <w:szCs w:val="26"/>
        </w:rPr>
        <w:t xml:space="preserve">undefined</w:t>
      </w:r>
      <w:r>
        <w:rPr>
          <w:sz w:val="26"/>
          <w:szCs w:val="26"/>
        </w:rPr>
        <w:t xml:space="preserve"> cấp ngày </w:t>
      </w:r>
      <w:r>
        <w:rPr>
          <w:sz w:val="26"/>
          <w:szCs w:val="26"/>
        </w:rPr>
        <w:t xml:space="preserve">undefined</w:t>
      </w:r>
      <w:r>
        <w:rPr>
          <w:sz w:val="26"/>
          <w:szCs w:val="26"/>
        </w:rPr>
        <w:t xml:space="preserve">; Nơi cấp: </w:t>
      </w:r>
      <w:r>
        <w:rPr>
          <w:sz w:val="26"/>
          <w:szCs w:val="26"/>
        </w:rPr>
        <w:t xml:space="preserve">undefined</w:t>
      </w:r>
      <w:r>
        <w:rPr>
          <w:sz w:val="26"/>
          <w:szCs w:val="26"/>
        </w:rPr>
        <w:t xml:space="preserve">.</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1</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Thiều Thị Thu Loan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Hoạt động kinh doanh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1975</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19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11/2007</w:t>
            </w:r>
            <w:r>
              <w:rPr>
                <w:b w:val="0"/>
                <w:bCs w:val="0"/>
              </w:rPr>
            </w:r>
            <w:r>
              <w:rPr>
                <w:b w:val="0"/>
                <w:bCs w:val="0"/>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2</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Kế toán trưởng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Phan Thị Kim Ngọc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Kế toán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1981</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05/2022</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80"/>
        <w:gridCol w:w="2663"/>
        <w:gridCol w:w="2382"/>
        <w:gridCol w:w="1970"/>
        <w:gridCol w:w="959"/>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880" w:type="dxa"/>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663" w:type="dxa"/>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82" w:type="dxa"/>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970" w:type="dxa"/>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59" w:type="dxa"/>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880" w:type="dxa"/>
            <w:vAlign w:val="center"/>
            <w:textDirection w:val="lrTb"/>
            <w:noWrap w:val="false"/>
          </w:tcPr>
          <w:p>
            <w:pPr>
              <w:pBdr/>
              <w:spacing/>
              <w:ind/>
              <w:jc w:val="center"/>
              <w:rPr>
                <w:szCs w:val="26"/>
              </w:rPr>
            </w:pPr>
            <w:r>
              <w:rPr>
                <w:rFonts w:ascii="Times New Roman" w:hAnsi="Times New Roman" w:cs="Times New Roman"/>
                <w:sz w:val="24"/>
                <w:szCs w:val="24"/>
              </w:rPr>
              <w:t xml:space="preserve">1</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663"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Thiều Thị Thu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82"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068175000495</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970"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Chủ sở hữu tài sản thế chấp</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59" w:type="dxa"/>
            <w:textDirection w:val="lrTb"/>
            <w:noWrap w:val="false"/>
          </w:tcPr>
          <w:p>
            <w:pPr>
              <w:pBdr/>
              <w:spacing/>
              <w:ind/>
              <w:jc w:val="center"/>
              <w:rPr>
                <w:szCs w:val="26"/>
              </w:rPr>
            </w:pPr>
            <w:r>
              <w:rPr>
                <w:szCs w:val="26"/>
              </w:rPr>
              <w:t/>
            </w:r>
            <w:r>
              <w:rPr>
                <w:szCs w:val="26"/>
              </w:rPr>
            </w:r>
            <w:r>
              <w:rPr>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880" w:type="dxa"/>
            <w:vAlign w:val="center"/>
            <w:textDirection w:val="lrTb"/>
            <w:noWrap w:val="false"/>
          </w:tcPr>
          <w:p>
            <w:pPr>
              <w:pBdr/>
              <w:spacing/>
              <w:ind/>
              <w:jc w:val="center"/>
              <w:rPr>
                <w:szCs w:val="26"/>
              </w:rPr>
            </w:pPr>
            <w:r>
              <w:rPr>
                <w:rFonts w:ascii="Times New Roman" w:hAnsi="Times New Roman" w:cs="Times New Roman"/>
                <w:sz w:val="24"/>
                <w:szCs w:val="24"/>
              </w:rPr>
              <w:t xml:space="preserve">2</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663"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Nguyễn Lương Huy</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82"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068075000367</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970"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tài sản thế chấp/ Chồng bà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59" w:type="dxa"/>
            <w:textDirection w:val="lrTb"/>
            <w:noWrap w:val="false"/>
          </w:tcPr>
          <w:p>
            <w:pPr>
              <w:pBdr/>
              <w:spacing/>
              <w:ind/>
              <w:jc w:val="center"/>
              <w:rPr>
                <w:szCs w:val="26"/>
              </w:rPr>
            </w:pPr>
            <w:r>
              <w:rPr>
                <w:szCs w:val="26"/>
              </w:rPr>
              <w:t/>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w:t>
      </w:r>
      <w:r>
        <w:rPr>
          <w:sz w:val="26"/>
          <w:szCs w:val="26"/>
        </w:rPr>
        <w:t xml:space="preserve">0</w:t>
      </w:r>
      <w:r>
        <w:rPr>
          <w:sz w:val="26"/>
          <w:szCs w:val="26"/>
        </w:rPr>
        <w:t xml:space="preserve">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w:t>
      </w:r>
      <w:r>
        <w:rPr>
          <w:sz w:val="26"/>
          <w:szCs w:val="26"/>
        </w:rPr>
        <w:t xml:space="preserve">Không có</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w:t>
      </w:r>
      <w:r>
        <w:rPr>
          <w:sz w:val="26"/>
          <w:szCs w:val="26"/>
        </w:rPr>
        <w:t xml:space="preserve">14.564 triệu đồng</w:t>
      </w:r>
      <w:r>
        <w:rPr>
          <w:sz w:val="26"/>
          <w:szCs w:val="26"/>
        </w:rPr>
        <w:t xml:space="preserve">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w:t>
      </w:r>
      <w:r>
        <w:rPr>
          <w:sz w:val="26"/>
          <w:szCs w:val="26"/>
        </w:rPr>
        <w:t xml:space="preserve">Nhóm 1</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triệu đồng</w:t>
      </w:r>
      <w:r>
        <w:rPr>
          <w:rFonts w:eastAsia="Calibri" w:eastAsiaTheme="minorHAnsi"/>
          <w:b/>
          <w:i/>
          <w:iCs/>
          <w:sz w:val="26"/>
        </w:rPr>
      </w:r>
      <w:r>
        <w:rPr>
          <w:rFonts w:eastAsia="Calibri" w:eastAsiaTheme="minorHAnsi"/>
          <w:b/>
          <w:i/>
          <w:iCs/>
          <w:sz w:val="26"/>
        </w:rPr>
      </w:r>
    </w:p>
    <w:tbl>
      <w:tblPr>
        <w:tblStyle w:val="974"/>
        <w:tblInd w:w="0" w:type="dxa"/>
        <w:tblW w:w="5000" w:type="pct"/>
        <w:tblCellMar>
          <w:left w:w="10" w:type="dxa"/>
          <w:top w:w="0" w:type="dxa"/>
          <w:right w:w="1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595"/>
        <w:gridCol w:w="2351"/>
        <w:gridCol w:w="1999"/>
        <w:gridCol w:w="1300"/>
        <w:gridCol w:w="3412"/>
      </w:tblGrid>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254C05EB">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STT</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1A83CD7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TỔ CHỨC TÍN DỤNG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641E7F26">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TỔNG GIÁ TRỊ KHOẢN VAY</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5A20D4D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b/>
                <w:color w:val="000000"/>
                <w:sz w:val="24"/>
              </w:rPr>
              <w:t xml:space="preserve">DƯ NỢ</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597B0FD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MỤC ĐÍCH SỬ DỤNG VỐN</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7791A08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1</w:t>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4350" w:type="dxa"/>
            <w:vAlign w:val="center"/>
            <w:textDirection w:val="lrTb"/>
            <w:noWrap w:val="false"/>
          </w:tcPr>
          <w:p w14:paraId="4F3A9E0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rPr/>
            </w:pPr>
            <w:r>
              <w:rPr>
                <w:rFonts w:ascii="Times New Roman" w:hAnsi="Times New Roman" w:eastAsia="Times New Roman" w:cs="Times New Roman"/>
                <w:b/>
                <w:color w:val="000000"/>
                <w:sz w:val="24"/>
              </w:rPr>
              <w:t xml:space="preserve">Tại Agribank Chi nhánh Lâm Đồng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4458479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44E9776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578D531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4"/>
              </w:rPr>
              <w:t xml:space="preserve"> 1.1</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3589492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left"/>
              <w:rPr/>
            </w:pPr>
            <w:r>
              <w:rPr>
                <w:rFonts w:ascii="Times New Roman" w:hAnsi="Times New Roman" w:eastAsia="Times New Roman" w:cs="Times New Roman"/>
                <w:color w:val="000000"/>
                <w:sz w:val="24"/>
              </w:rPr>
              <w:t xml:space="preserve">Ngắn hạn</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79B863E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14.564 triệu đồng</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0B114B2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14.564 triệu đồng</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7E8C3B35">
            <w:pPr>
              <w:pBdr/>
              <w:spacing/>
              <w:ind/>
              <w:rPr/>
            </w:pPr>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vMerge w:val="restart"/>
            <w:textDirection w:val="lrTb"/>
            <w:noWrap w:val="false"/>
          </w:tcPr>
          <w:p w14:paraId="767268A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1.2</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vMerge w:val="restart"/>
            <w:textDirection w:val="lrTb"/>
            <w:noWrap w:val="false"/>
          </w:tcPr>
          <w:p w14:paraId="406CB34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left"/>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Trung, dài hạn</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vMerge w:val="restart"/>
            <w:textDirection w:val="lrTb"/>
            <w:noWrap w:val="false"/>
          </w:tcPr>
          <w:p w14:paraId="3898BA1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14.564 triệu đồng</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vMerge w:val="restart"/>
            <w:textDirection w:val="lrTb"/>
            <w:noWrap w:val="false"/>
          </w:tcPr>
          <w:p w14:paraId="40503F71">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0 đồng</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vMerge w:val="restart"/>
            <w:textDirection w:val="lrTb"/>
            <w:noWrap w:val="false"/>
          </w:tcPr>
          <w:p w14:paraId="4999C86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4CE3CCE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2</w:t>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4350" w:type="dxa"/>
            <w:vAlign w:val="center"/>
            <w:textDirection w:val="lrTb"/>
            <w:noWrap w:val="false"/>
          </w:tcPr>
          <w:p w14:paraId="0A35908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rPr/>
            </w:pPr>
            <w:r>
              <w:rPr>
                <w:rFonts w:ascii="Times New Roman" w:hAnsi="Times New Roman" w:eastAsia="Times New Roman" w:cs="Times New Roman"/>
                <w:b/>
                <w:color w:val="000000"/>
                <w:sz w:val="24"/>
              </w:rPr>
              <w:t xml:space="preserve">Tại các TCTD khác</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4957DD0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5B8DA5B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4F63112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4"/>
              </w:rPr>
              <w:t xml:space="preserve">2.1 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01A4A8FE">
            <w:pPr>
              <w:pBdr/>
              <w:spacing/>
              <w:ind w:right="0" w:firstLine="0" w:left="90"/>
              <w:rPr/>
            </w:pPr>
            <w:r>
              <w:t xml:space="preserve">Không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5A601CF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62F39F3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0925357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vMerge w:val="restart"/>
            <w:textDirection w:val="lrTb"/>
            <w:noWrap w:val="false"/>
          </w:tcPr>
          <w:p w14:paraId="2C05404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2.2</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vMerge w:val="restart"/>
            <w:textDirection w:val="lrTb"/>
            <w:noWrap w:val="false"/>
          </w:tcPr>
          <w:p w14:paraId="44283C8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vMerge w:val="restart"/>
            <w:textDirection w:val="lrTb"/>
            <w:noWrap w:val="false"/>
          </w:tcPr>
          <w:p w14:paraId="0A22DAC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vMerge w:val="restart"/>
            <w:textDirection w:val="lrTb"/>
            <w:noWrap w:val="false"/>
          </w:tcPr>
          <w:p w14:paraId="6E60A84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vMerge w:val="restart"/>
            <w:textDirection w:val="lrTb"/>
            <w:noWrap w:val="false"/>
          </w:tcPr>
          <w:p w14:paraId="7339492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7245961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3F43A22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b/>
                <w:color w:val="000000"/>
                <w:sz w:val="24"/>
              </w:rPr>
              <w:t xml:space="preserve">Tổng cộng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65F650B4">
            <w:pPr>
              <w:pBdr/>
              <w:spacing/>
              <w:ind/>
              <w:rPr/>
            </w:p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0A86EB8B">
            <w:pPr>
              <w:pBdr/>
              <w:spacing/>
              <w:ind/>
              <w:rPr/>
            </w:p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1B2FDAF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bl>
    <w:p>
      <w:pPr>
        <w:pBdr/>
        <w:spacing w:before="120"/>
        <w:ind w:firstLine="567"/>
        <w:jc w:val="both"/>
        <w:rPr>
          <w:rFonts w:eastAsiaTheme="minorHAnsi"/>
          <w:b/>
          <w:bCs/>
          <w:iCs/>
          <w:sz w:val="26"/>
          <w:szCs w:val="26"/>
          <w:highlight w:val="none"/>
        </w:rPr>
      </w:pPr>
      <w:r>
        <w:rPr>
          <w:b/>
          <w:bCs/>
          <w:sz w:val="26"/>
          <w:szCs w:val="26"/>
        </w:rPr>
        <w:t xml:space="preserve">b) Theo thông tin trên hệ thống IPCAS</w:t>
      </w:r>
      <w:r>
        <w:rPr>
          <w:rFonts w:eastAsiaTheme="minorHAnsi"/>
          <w:b/>
          <w:bCs/>
          <w:iCs/>
          <w:sz w:val="26"/>
          <w:szCs w:val="26"/>
          <w:highlight w:val="none"/>
        </w:rPr>
      </w:r>
      <w:r>
        <w:rPr>
          <w:rFonts w:eastAsiaTheme="minorHAnsi"/>
          <w:b/>
          <w:bCs/>
          <w:iCs/>
          <w:sz w:val="26"/>
          <w:szCs w:val="26"/>
          <w:highlight w:val="none"/>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Nguyễn Đức Thanh</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t xml:space="preserve">undefined</w:t>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0</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undefined</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undefined</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t xml:space="preserve">undefined</w:t>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undefined</w:t>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Nguyễn Đức Thanh</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t xml:space="preserve">undefined</w:t>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0</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undefined</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undefined</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t xml:space="preserve">undefined</w:t>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undefined</w:t>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r>
            <w:r>
              <w:rPr>
                <w:rFonts w:ascii="Times New Roman" w:hAnsi="Times New Roman" w:cs="Times New Roman"/>
                <w:sz w:val="26"/>
                <w:szCs w:val="26"/>
              </w:rPr>
              <w:t xml:space="preserve">A4</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46"/>
        <w:gridCol w:w="3841"/>
        <w:gridCol w:w="2179"/>
        <w:gridCol w:w="2179"/>
        <w:gridCol w:w="2187"/>
      </w:tblGrid>
      <w:tr>
        <w:trPr>
          <w:tblHeader/>
        </w:trPr>
        <w:tc>
          <w:tcPr>
            <w:tcBorders>
              <w:top w:val="single" w:color="auto" w:sz="4" w:space="0"/>
              <w:left w:val="single" w:color="auto" w:sz="4" w:space="0"/>
              <w:bottom w:val="single" w:color="auto" w:sz="4" w:space="0"/>
              <w:right w:val="single" w:color="auto" w:sz="4" w:space="0"/>
            </w:tcBorders>
            <w:tcW w:w="1646" w:type="dxa"/>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3841" w:type="dxa"/>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000000" w:sz="4" w:space="0"/>
              <w:left w:val="single" w:color="000000" w:sz="4" w:space="0"/>
              <w:bottom w:val="single" w:color="000000" w:sz="4" w:space="0"/>
              <w:right w:val="single" w:color="000000" w:sz="4" w:space="0"/>
            </w:tcBorders>
            <w:tcW w:w="2179" w:type="dxa"/>
            <w:vAlign w:val="center"/>
            <w:textDirection w:val="lrTb"/>
            <w:noWrap w:val="false"/>
          </w:tcPr>
          <w:p w14:paraId="28B0DE01">
            <w:pPr>
              <w:pBdr/>
              <w:spacing/>
              <w:ind/>
              <w:jc w:val="center"/>
              <w:rPr>
                <w:b/>
                <w:bCs/>
                <w:sz w:val="26"/>
                <w:szCs w:val="26"/>
              </w:rPr>
            </w:pPr>
            <w:r>
              <w:rPr>
                <w:b/>
                <w:bCs/>
                <w:sz w:val="26"/>
                <w:szCs w:val="26"/>
              </w:rPr>
              <w:t xml:space="preserve">Số GCN</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2179" w:type="dxa"/>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87" w:type="dxa"/>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1646" w:type="dxa"/>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3841" w:type="dxa"/>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000000" w:sz="4" w:space="0"/>
              <w:left w:val="single" w:color="000000" w:sz="4" w:space="0"/>
              <w:bottom w:val="single" w:color="000000" w:sz="4" w:space="0"/>
              <w:right w:val="single" w:color="000000" w:sz="4" w:space="0"/>
            </w:tcBorders>
            <w:tcW w:w="2179" w:type="dxa"/>
            <w:vAlign w:val="center"/>
            <w:textDirection w:val="lrTb"/>
            <w:noWrap w:val="false"/>
          </w:tcPr>
          <w:p w14:paraId="476712BE">
            <w:pPr>
              <w:pBdr/>
              <w:spacing/>
              <w:ind/>
              <w:rPr>
                <w:b/>
                <w:bCs/>
                <w:sz w:val="26"/>
                <w:szCs w:val="26"/>
              </w:rPr>
            </w:pPr>
            <w:r>
              <w:rPr>
                <w:b/>
                <w:bCs/>
                <w:sz w:val="26"/>
                <w:szCs w:val="26"/>
              </w:rPr>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2179" w:type="dxa"/>
            <w:vAlign w:val="center"/>
            <w:textDirection w:val="lrTb"/>
            <w:noWrap w:val="false"/>
          </w:tcPr>
          <w:p>
            <w:pPr>
              <w:pBdr/>
              <w:spacing/>
              <w:ind/>
              <w:jc w:val="right"/>
              <w:rPr>
                <w:rFonts w:eastAsia="Calibri"/>
                <w:b/>
                <w:sz w:val="26"/>
              </w:rPr>
            </w:pPr>
            <w:r>
              <w:rPr>
                <w:b/>
                <w:bCs/>
                <w:sz w:val="26"/>
                <w:szCs w:val="26"/>
              </w:rPr>
            </w: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87" w:type="dxa"/>
            <w:vAlign w:val="center"/>
            <w:textDirection w:val="lrTb"/>
            <w:noWrap w:val="false"/>
          </w:tcPr>
          <w:p>
            <w:pPr>
              <w:pBdr/>
              <w:spacing/>
              <w:ind/>
              <w:jc w:val="right"/>
              <w:rPr>
                <w:rFonts w:eastAsia="Calibri"/>
                <w:b/>
                <w:sz w:val="26"/>
              </w:rPr>
            </w:pPr>
            <w:r>
              <w:rPr>
                <w:b/>
                <w:bCs/>
                <w:sz w:val="26"/>
                <w:szCs w:val="26"/>
              </w:rPr>
            </w: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14:paraId="3979F963">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a) Hồ sơ vay vốn của Khách hàng: đầy đủ, hợp lệ, hợp pháp.</w:t>
      </w:r>
      <w:r/>
    </w:p>
    <w:p w14:paraId="3DA7DD4C">
      <w:pPr>
        <w:pBdr>
          <w:top w:val="none" w:color="000000" w:sz="4" w:space="0"/>
          <w:left w:val="none" w:color="000000" w:sz="4" w:space="0"/>
          <w:bottom w:val="none" w:color="000000" w:sz="4" w:space="0"/>
          <w:right w:val="none" w:color="000000" w:sz="4" w:space="0"/>
        </w:pBdr>
        <w:spacing w:line="276" w:lineRule="auto"/>
        <w:ind w:right="0" w:firstLine="567" w:left="0"/>
        <w:jc w:val="both"/>
        <w:rPr/>
      </w:pPr>
      <w:r>
        <w:rPr>
          <w:rFonts w:ascii="Times New Roman" w:hAnsi="Times New Roman" w:eastAsia="Times New Roman" w:cs="Times New Roman"/>
          <w:color w:val="000000"/>
          <w:sz w:val="26"/>
        </w:rPr>
        <w:t xml:space="preserve">b) Năng lực pháp luật dân sự của khách hàng, năng lực hành vi dân sự của người đại diện theo pháp luật tại thời điểm vay vốn: khách hàng có đầy đủ năng lực pháp luật dân sự, người đại diện theo pháp luật có đầy đủ năng lực hành vi dân sự, năng lực pháp luậ</w:t>
      </w:r>
      <w:r>
        <w:rPr>
          <w:rFonts w:ascii="Times New Roman" w:hAnsi="Times New Roman" w:eastAsia="Times New Roman" w:cs="Times New Roman"/>
          <w:color w:val="000000"/>
          <w:sz w:val="26"/>
        </w:rPr>
        <w:t xml:space="preserve">t dân sự.</w:t>
      </w:r>
      <w:r/>
    </w:p>
    <w:p w14:paraId="7D81B8F2">
      <w:pPr>
        <w:pBdr>
          <w:top w:val="none" w:color="000000" w:sz="4" w:space="0"/>
          <w:left w:val="none" w:color="000000" w:sz="4" w:space="0"/>
          <w:bottom w:val="none" w:color="000000" w:sz="4" w:space="0"/>
          <w:right w:val="none" w:color="000000" w:sz="4" w:space="0"/>
        </w:pBdr>
        <w:spacing w:line="276" w:lineRule="auto"/>
        <w:ind w:right="0" w:firstLine="567" w:left="0"/>
        <w:jc w:val="both"/>
        <w:rPr/>
      </w:pPr>
      <w:r>
        <w:rPr>
          <w:rFonts w:ascii="Times New Roman" w:hAnsi="Times New Roman" w:eastAsia="Times New Roman" w:cs="Times New Roman"/>
          <w:color w:val="000000"/>
          <w:sz w:val="26"/>
        </w:rPr>
        <w:t xml:space="preserve">c) Đánh giá tính hợp pháp của mục đích sử dụng vốn: mục đích sử dụng vốn hợp pháp; không thuộc các đối tượng cấm kinh doanh theo quy định của pháp luật, phù hợp với ngành nghề kinh doanh theo Giấy phép đăng ký kinh doanh của Công ty. Phương án kinh doanh đ</w:t>
      </w:r>
      <w:r>
        <w:rPr>
          <w:rFonts w:ascii="Times New Roman" w:hAnsi="Times New Roman" w:eastAsia="Times New Roman" w:cs="Times New Roman"/>
          <w:color w:val="000000"/>
          <w:sz w:val="26"/>
        </w:rPr>
        <w:t xml:space="preserve">ã được đã được cấp có thẩm quyền thông qua theo quy định tại Điều lệ công ty.</w:t>
      </w: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14:paraId="01F6FF99">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Sau khi đánh giá khoản vay, Người quan hệ khách hàng đề xuất Phòng Thẩm định thực hiện thẩm định theo quy định. Nội dung cụ thể như sau:</w:t>
      </w:r>
      <w:r/>
    </w:p>
    <w:p w14:paraId="33601AF7">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Hạn mức cho vay tối đa: </w:t>
      </w:r>
      <w:r>
        <w:rPr>
          <w:rFonts w:ascii="Times New Roman" w:hAnsi="Times New Roman" w:eastAsia="Times New Roman" w:cs="Times New Roman"/>
          <w:color w:val="000000"/>
          <w:sz w:val="26"/>
        </w:rPr>
        <w:t xml:space="preserve">20.000.000.000</w:t>
      </w:r>
      <w:r>
        <w:rPr>
          <w:rFonts w:ascii="Times New Roman" w:hAnsi="Times New Roman" w:eastAsia="Times New Roman" w:cs="Times New Roman"/>
          <w:color w:val="000000"/>
          <w:sz w:val="26"/>
        </w:rPr>
        <w:t xml:space="preserve"> đồng (bằng chữ: undefined), bao gồm dư nợ tại HĐTD số undefined ngày undefined chuyển sang.</w:t>
      </w:r>
      <w:r/>
    </w:p>
    <w:p w14:paraId="7466488D">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Phương thức cho vay: Cho vay theo hạn mức.</w:t>
      </w:r>
      <w:r/>
    </w:p>
    <w:p w14:paraId="15BDA2A5">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Mục đích sử dụng vốn: </w:t>
      </w:r>
      <w:r>
        <w:rPr>
          <w:rFonts w:ascii="Times New Roman" w:hAnsi="Times New Roman" w:eastAsia="Times New Roman" w:cs="Times New Roman"/>
          <w:color w:val="000000"/>
          <w:sz w:val="26"/>
        </w:rPr>
        <w:t xml:space="preserve">Bổ sung vốn kinh doanh xăng dầu, vật liệu xây dựng</w:t>
      </w:r>
      <w:r>
        <w:rPr>
          <w:rFonts w:ascii="Times New Roman" w:hAnsi="Times New Roman" w:eastAsia="Times New Roman" w:cs="Times New Roman"/>
          <w:color w:val="000000"/>
          <w:sz w:val="26"/>
        </w:rPr>
        <w:t xml:space="preserve">.</w:t>
      </w:r>
      <w:r/>
    </w:p>
    <w:p w14:paraId="5BEC7974">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Thời gian duy trì hạn mức: tối đa </w:t>
      </w:r>
      <w:r>
        <w:rPr>
          <w:rFonts w:ascii="Times New Roman" w:hAnsi="Times New Roman" w:eastAsia="Times New Roman" w:cs="Times New Roman"/>
          <w:color w:val="000000"/>
          <w:sz w:val="26"/>
        </w:rPr>
        <w:t xml:space="preserve">36</w:t>
      </w:r>
      <w:r>
        <w:rPr>
          <w:rFonts w:ascii="Times New Roman" w:hAnsi="Times New Roman" w:eastAsia="Times New Roman" w:cs="Times New Roman"/>
          <w:color w:val="000000"/>
          <w:sz w:val="26"/>
        </w:rPr>
        <w:t xml:space="preserve"> tháng.</w:t>
      </w:r>
      <w:r/>
    </w:p>
    <w:p w14:paraId="2388F0DB">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Kỳ hạn trả nợ gốc và lãi: Theo từng Báo cáo đề xuất giải ngân.</w:t>
      </w:r>
      <w:r/>
    </w:p>
    <w:p w14:paraId="53B06957">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Lãi suất cho vay trong hạn: Áp dụng theo từng lần nhận nợ với quy định cụ thể như sau:</w:t>
      </w:r>
      <w:r/>
    </w:p>
    <w:p w14:paraId="58CD1551">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851" w:left="0"/>
        <w:jc w:val="both"/>
        <w:rPr/>
      </w:pPr>
      <w:r>
        <w:rPr>
          <w:rFonts w:ascii="Times New Roman" w:hAnsi="Times New Roman" w:eastAsia="Times New Roman" w:cs="Times New Roman"/>
          <w:color w:val="000000"/>
          <w:sz w:val="26"/>
        </w:rPr>
        <w:t xml:space="preserve">+ Áp dụng lãi suất cho vay có điều chỉnh. Định kỳ 03 tháng/lần Ngân hàng sẽ xem xét điều chỉnh với công thức: Lãi suất cho vay = (bằng) Lãi suất niêm yết tối đa tiền gửi tiết kiệm bằng đồng Việt Nam kỳ hạn 12 tháng trả lãi cuối kỳ của Agribank tại thời điể</w:t>
      </w:r>
      <w:r>
        <w:rPr>
          <w:rFonts w:ascii="Times New Roman" w:hAnsi="Times New Roman" w:eastAsia="Times New Roman" w:cs="Times New Roman"/>
          <w:color w:val="000000"/>
          <w:sz w:val="26"/>
        </w:rPr>
        <w:t xml:space="preserve">m điều chỉnh cộng (+) biên độ undefined%/năm, nhưng không thấp hơn sàn lãi suất cho vay theo quy định của Agribank tại thời điểm điều chỉnh.</w:t>
      </w:r>
      <w:r/>
    </w:p>
    <w:p w14:paraId="40D94365">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851" w:left="0"/>
        <w:jc w:val="both"/>
        <w:rPr/>
      </w:pPr>
      <w:r>
        <w:rPr>
          <w:rFonts w:ascii="Times New Roman" w:hAnsi="Times New Roman" w:eastAsia="Times New Roman" w:cs="Times New Roman"/>
          <w:color w:val="000000"/>
          <w:sz w:val="26"/>
        </w:rPr>
        <w:t xml:space="preserve">+ Lãi suất cho vay được áp dụng theo từng lần nhận nợ. Mức lãi suất cho vay tại thời điểm thẩm định là: </w:t>
      </w:r>
      <w:r>
        <w:rPr>
          <w:rFonts w:ascii="Times New Roman" w:hAnsi="Times New Roman" w:eastAsia="Times New Roman" w:cs="Times New Roman"/>
          <w:color w:val="000000"/>
          <w:sz w:val="26"/>
        </w:rPr>
        <w:t xml:space="preserve">8</w:t>
      </w:r>
      <w:r>
        <w:rPr>
          <w:rFonts w:ascii="Times New Roman" w:hAnsi="Times New Roman" w:eastAsia="Times New Roman" w:cs="Times New Roman"/>
          <w:color w:val="000000"/>
          <w:sz w:val="26"/>
        </w:rPr>
        <w:t xml:space="preserve">%/năm.</w:t>
      </w:r>
      <w:r/>
    </w:p>
    <w:p w14:paraId="6FC531FC">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Lãi suất cho vay áp dụng với dư nợ gốc bị quá hạn: bằng 150% lãi suất cho vay trong hạn tại thời điểm chuyển nợ quá hạn.</w:t>
      </w:r>
      <w:r/>
    </w:p>
    <w:p w14:paraId="45B94BD5">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Lãi suất áp dụng đối với lãi chậm trả: 10%/năm tính trên số dư lãi chậm trả tương ứng với thời gian chậm trả.</w:t>
      </w:r>
      <w:r/>
    </w:p>
    <w:p w14:paraId="421213D0">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Cho vay có bảo đảm 100% bằng tài sản bảo đảm.</w:t>
      </w: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gridSpan w:val="2"/>
            <w:tcBorders>
              <w:top w:val="nil" w:color="000000" w:sz="4" w:space="0"/>
              <w:left w:val="nil" w:color="000000" w:sz="4" w:space="0"/>
              <w:bottom w:val="nil" w:color="000000" w:sz="4" w:space="0"/>
              <w:right w:val="nil" w:color="000000" w:sz="4" w:space="0"/>
            </w:tcBorders>
            <w:tcMar>
              <w:left w:w="108" w:type="dxa"/>
              <w:top w:w="0" w:type="dxa"/>
              <w:right w:w="108" w:type="dxa"/>
              <w:bottom w:w="0" w:type="dxa"/>
            </w:tcMar>
            <w:tcW w:w="9854"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04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14:paraId="59CB468E">
      <w:pPr>
        <w:pBdr/>
        <w:tabs>
          <w:tab w:val="center" w:leader="none" w:pos="7200"/>
        </w:tabs>
        <w:spacing w:line="288" w:lineRule="auto"/>
        <w:ind/>
        <w:jc w:val="both"/>
        <w:rPr>
          <w:sz w:val="28"/>
          <w:szCs w:val="28"/>
        </w:rPr>
      </w:pPr>
      <w:r>
        <w:rPr>
          <w:bCs/>
          <w:sz w:val="28"/>
          <w:szCs w:val="28"/>
        </w:rPr>
      </w:r>
      <w:r>
        <w:rPr>
          <w:bCs/>
          <w:sz w:val="28"/>
          <w:szCs w:val="28"/>
        </w:rPr>
      </w:r>
      <w:r>
        <w:rPr>
          <w:bCs/>
          <w:sz w:val="28"/>
          <w:szCs w:val="28"/>
        </w:rPr>
      </w:r>
    </w:p>
    <w:p w14:paraId="49341A0B">
      <w:pPr>
        <w:pBdr/>
        <w:tabs>
          <w:tab w:val="center" w:leader="none" w:pos="7200"/>
        </w:tabs>
        <w:spacing w:line="288" w:lineRule="auto"/>
        <w:ind/>
        <w:jc w:val="both"/>
        <w:rPr>
          <w:sz w:val="28"/>
          <w:szCs w:val="28"/>
        </w:rPr>
      </w:pPr>
      <w:r>
        <w:rPr>
          <w:sz w:val="28"/>
          <w:szCs w:val="28"/>
        </w:rPr>
      </w:r>
      <w:r>
        <w:rPr>
          <w:sz w:val="28"/>
          <w:szCs w:val="28"/>
        </w:rPr>
      </w:r>
      <w:r>
        <w:rPr>
          <w:sz w:val="28"/>
          <w:szCs w:val="28"/>
        </w:rPr>
      </w:r>
    </w:p>
    <w:p w14:paraId="330A9D64">
      <w:pPr>
        <w:pBdr/>
        <w:tabs>
          <w:tab w:val="center" w:leader="none" w:pos="7200"/>
        </w:tabs>
        <w:spacing w:line="288" w:lineRule="auto"/>
        <w:ind/>
        <w:jc w:val="both"/>
        <w:rPr>
          <w:sz w:val="28"/>
          <w:szCs w:val="28"/>
        </w:rPr>
      </w:pPr>
      <w:r>
        <w:rPr>
          <w:sz w:val="28"/>
          <w:szCs w:val="28"/>
        </w:rPr>
      </w:r>
      <w:r>
        <w:rPr>
          <w:sz w:val="28"/>
          <w:szCs w:val="28"/>
        </w:rPr>
      </w:r>
      <w:r>
        <w:rPr>
          <w:sz w:val="28"/>
          <w:szCs w:val="28"/>
        </w:rPr>
      </w:r>
    </w:p>
    <w:p>
      <w:pPr>
        <w:pBdr/>
        <w:tabs>
          <w:tab w:val="center" w:leader="none" w:pos="7200"/>
        </w:tabs>
        <w:spacing w:line="288" w:lineRule="auto"/>
        <w:ind/>
        <w:jc w:val="both"/>
        <w:rPr>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04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04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04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31</cp:revision>
  <dcterms:created xsi:type="dcterms:W3CDTF">2023-09-30T14:06:00Z</dcterms:created>
  <dcterms:modified xsi:type="dcterms:W3CDTF">2026-03-04T10:15:23Z</dcterms:modified>
</cp:coreProperties>
</file>