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5107" w:type="pct"/>
        <w:tblBorders/>
        <w:tblLook w:val="04A0" w:firstRow="1" w:lastRow="0" w:firstColumn="1" w:lastColumn="0" w:noHBand="0" w:noVBand="1"/>
      </w:tblPr>
      <w:tblGrid>
        <w:gridCol w:w="1134"/>
        <w:gridCol w:w="1134"/>
      </w:tblGrid>
      <w:tr>
        <w:trPr>
          <w:tblHeader/>
        </w:trPr>
        <w:tc>
          <w:tcPr>
            <w:tcBorders/>
            <w:tcW w:w="2394" w:type="pct"/>
            <w:textDirection w:val="lrTb"/>
            <w:noWrap w:val="false"/>
          </w:tcPr>
          <w:p>
            <w:pPr>
              <w:pBdr/>
              <w:spacing w:before="120"/>
              <w:ind/>
              <w:jc w:val="center"/>
              <w:rPr>
                <w:rFonts w:eastAsia="SimSun"/>
              </w:rPr>
            </w:pPr>
            <w:r>
              <w:rPr>
                <w:sz w:val="24"/>
                <w:szCs w:val="24"/>
              </w:rPr>
              <w:t xml:space="preserve">NGÂN HÀNG NÔNG NGHIỆP</w:t>
            </w:r>
            <w:r>
              <w:rPr>
                <w:rFonts w:eastAsia="SimSun"/>
              </w:rPr>
            </w:r>
          </w:p>
          <w:p>
            <w:pPr>
              <w:pBdr/>
              <w:spacing/>
              <w:ind/>
              <w:jc w:val="center"/>
              <w:rPr>
                <w:rFonts w:eastAsia="SimSun"/>
              </w:rPr>
            </w:pPr>
            <w:r>
              <w:rPr>
                <w:sz w:val="24"/>
                <w:szCs w:val="24"/>
              </w:rPr>
              <w:t xml:space="preserve">VÀ PHÁT TRIỂN NÔNG THÔN VIỆT NAM</w:t>
            </w:r>
            <w:r>
              <w:rPr>
                <w:rFonts w:eastAsia="SimSun"/>
              </w:rPr>
            </w:r>
          </w:p>
          <w:p>
            <w:pPr>
              <w:pBdr/>
              <w:spacing w:before="120"/>
              <w:ind/>
              <w:jc w:val="center"/>
              <w:rPr>
                <w:rFonts w:eastAsia="SimSun"/>
                <w:b/>
              </w:rPr>
            </w:pPr>
            <w:r>
              <w:rPr>
                <w:b/>
                <w:bCs/>
                <w:sz w:val="24"/>
                <w:szCs w:val="24"/>
              </w:rPr>
              <w:t xml:space="preserve">[Tên gọi in hoa]</w:t>
            </w:r>
            <w:r>
              <w:rPr>
                <w:rFonts w:eastAsia="SimSun"/>
                <w:b/>
              </w:rPr>
            </w:r>
          </w:p>
        </w:tc>
        <w:tc>
          <w:tcPr>
            <w:tcBorders/>
            <w:tcW w:w="2606" w:type="pct"/>
            <w:textDirection w:val="lrTb"/>
            <w:noWrap w:val="false"/>
          </w:tcPr>
          <w:p>
            <w:pPr>
              <w:pBdr/>
              <w:spacing w:before="120"/>
              <w:ind/>
              <w:jc w:val="center"/>
              <w:rPr>
                <w:rFonts w:eastAsia="SimSun"/>
                <w:b/>
              </w:rPr>
            </w:pPr>
            <w:r>
              <w:rPr>
                <w:b/>
                <w:bCs/>
                <w:sz w:val="24"/>
                <w:szCs w:val="24"/>
              </w:rPr>
              <w:t xml:space="preserve">CỘNG HÒA XÃ HỘI CHỦ NGHĨA VIỆT NAM</w:t>
            </w:r>
            <w:r>
              <w:rPr>
                <w:rFonts w:eastAsia="SimSun"/>
                <w:b/>
              </w:rPr>
            </w:r>
          </w:p>
          <w:p>
            <w:pPr>
              <w:pBdr/>
              <w:spacing/>
              <w:ind/>
              <w:jc w:val="center"/>
              <w:rPr>
                <w:rFonts w:eastAsia="SimSun"/>
                <w:b/>
                <w:i/>
                <w:sz w:val="26"/>
              </w:rPr>
            </w:pPr>
            <w:r>
              <w:rPr>
                <w:b/>
                <w:bCs/>
                <w:i/>
                <w:iCs/>
                <w:sz w:val="26"/>
                <w:szCs w:val="26"/>
              </w:rPr>
              <w:t xml:space="preserve">Độc lập – Tự do – Hạnh phúc</w:t>
            </w:r>
            <w:r>
              <w:rPr>
                <w:rFonts w:eastAsia="SimSun"/>
                <w:b/>
                <w:i/>
                <w:sz w:val="26"/>
              </w:rPr>
            </w:r>
          </w:p>
        </w:tc>
      </w:tr>
    </w:tbl>
    <w:p>
      <w:pPr>
        <w:pBdr/>
        <w:spacing/>
        <w:ind/>
        <w:jc w:val="center"/>
        <w:rPr>
          <w:rFonts w:eastAsia="Calibri"/>
          <w:b/>
          <w:bCs/>
          <w:color w:val="000000"/>
          <w:sz w:val="26"/>
          <w:szCs w:val="28"/>
        </w:rPr>
      </w:pPr>
      <w:r>
        <w:rPr>
          <w:rFonts w:eastAsia="Calibri"/>
          <w:b/>
          <w:bCs/>
          <w:color w:val="000000"/>
          <w:sz w:val="26"/>
          <w:szCs w:val="28"/>
        </w:rPr>
      </w:r>
      <w:r>
        <w:rPr>
          <w:rFonts w:eastAsia="Calibri"/>
          <w:b/>
          <w:bCs/>
          <w:color w:val="000000"/>
          <w:sz w:val="26"/>
          <w:szCs w:val="28"/>
        </w:rPr>
      </w:r>
    </w:p>
    <w:p>
      <w:pPr>
        <w:pBdr/>
        <w:spacing w:before="120"/>
        <w:ind/>
        <w:jc w:val="center"/>
        <w:rPr>
          <w:rFonts w:eastAsia="Calibri"/>
          <w:b/>
          <w:bCs/>
          <w:color w:val="000000"/>
          <w:sz w:val="28"/>
          <w:szCs w:val="28"/>
        </w:rPr>
      </w:pPr>
      <w:r>
        <w:rPr>
          <w:b/>
          <w:bCs/>
          <w:color w:val="000000"/>
          <w:sz w:val="28"/>
          <w:szCs w:val="28"/>
        </w:rPr>
        <w:t xml:space="preserve">BÁO CÁO ĐỀ XUẤT CHO VAY</w:t>
      </w:r>
      <w:r>
        <w:rPr>
          <w:rFonts w:eastAsia="Calibri"/>
          <w:b/>
          <w:bCs/>
          <w:color w:val="000000"/>
          <w:sz w:val="28"/>
          <w:szCs w:val="28"/>
        </w:rPr>
      </w:r>
    </w:p>
    <w:p>
      <w:pPr>
        <w:pBdr/>
        <w:spacing/>
        <w:ind/>
        <w:jc w:val="center"/>
        <w:rPr>
          <w:rFonts w:eastAsia="Calibri"/>
          <w:bCs/>
          <w:i/>
          <w:iCs/>
          <w:color w:val="000000"/>
          <w:sz w:val="26"/>
          <w:szCs w:val="26"/>
        </w:rPr>
      </w:pPr>
      <w:r>
        <w:rPr>
          <w:i/>
          <w:iCs/>
          <w:color w:val="000000"/>
          <w:sz w:val="26"/>
          <w:szCs w:val="26"/>
        </w:rPr>
        <w:t xml:space="preserve">(Áp dụng đối với khách hàng pháp nhân vay vốn ngắn hạn tại Agribank nơi cho vay)</w:t>
      </w:r>
      <w:r>
        <w:rPr>
          <w:rFonts w:eastAsia="Calibri"/>
          <w:bCs/>
          <w:i/>
          <w:iCs/>
          <w:color w:val="000000"/>
          <w:sz w:val="26"/>
          <w:szCs w:val="26"/>
        </w:rPr>
      </w:r>
    </w:p>
    <w:p>
      <w:pPr>
        <w:pBdr/>
        <w:spacing/>
        <w:ind w:firstLine="567"/>
        <w:jc w:val="both"/>
        <w:rPr>
          <w:rFonts w:eastAsia="Calibri"/>
          <w:bCs/>
          <w:color w:val="000000"/>
          <w:sz w:val="26"/>
          <w:szCs w:val="26"/>
        </w:rPr>
      </w:pPr>
      <w:r>
        <w:rPr>
          <w:rFonts w:eastAsia="Calibri"/>
          <w:bCs/>
          <w:color w:val="000000"/>
          <w:sz w:val="26"/>
          <w:szCs w:val="26"/>
        </w:rPr>
      </w:r>
      <w:r>
        <w:rPr>
          <w:rFonts w:eastAsia="Calibri"/>
          <w:bCs/>
          <w:color w:val="000000"/>
          <w:sz w:val="26"/>
          <w:szCs w:val="26"/>
        </w:rPr>
      </w:r>
    </w:p>
    <w:p>
      <w:pPr>
        <w:pBdr/>
        <w:spacing/>
        <w:ind w:firstLine="567"/>
        <w:jc w:val="both"/>
        <w:rPr>
          <w:rFonts w:eastAsia="Calibri"/>
          <w:bCs/>
          <w:i/>
          <w:sz w:val="26"/>
          <w:szCs w:val="26"/>
        </w:rPr>
      </w:pPr>
      <w:r>
        <w:rPr>
          <w:i/>
          <w:iCs/>
          <w:sz w:val="26"/>
          <w:szCs w:val="26"/>
        </w:rPr>
        <w:t xml:space="preserve">Căn cứ Quy chế số 656/QC-HĐTV-TD ngày 31/08/2023 của Hội đồng thành viên Agribank về Quy chế cho vay đối với khách hàng trong hệ thống Agribank;</w:t>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Quyết định số 204/QĐ-HĐTV-TD ngày 24/04/2020 của Hội đồng thành viên Agribank về thẩm quyền cấp tín dụng trong hệ thống Agribank và văn bản sửa đổi, bổ sung (nếu có);</w:t>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 định số 2268/QyĐ-NHNo-TD ngày 19/09/2023 của Tổng giám đốc Agribank quy định cho vay đối với Khách hàng trong hệ thống Agribank; </w:t>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w:t>
      </w:r>
      <w:r>
        <w:rPr>
          <w:i/>
          <w:iCs/>
          <w:sz w:val="26"/>
          <w:szCs w:val="26"/>
        </w:rPr>
        <w:t xml:space="preserve"> Quyết định số 4199/QyĐ-NHNo-TD ngày 11/12/2024 của Tổng giám đốc Agribank quy định một số nội dung về thẩm quyền cấp tín dụng trong hệ thống Agribank; Thông báo số 3636/NHNo-TD ngày 14/4/2023 của Tổng Giám đốc Agribank về Thẩm quyền cấp tín dụng năm 2023;</w:t>
      </w:r>
      <w:r>
        <w:rPr>
          <w:rFonts w:eastAsia="Calibri"/>
          <w:bCs/>
          <w:i/>
          <w:sz w:val="26"/>
          <w:szCs w:val="26"/>
        </w:rPr>
      </w:r>
    </w:p>
    <w:p>
      <w:pPr>
        <w:pBdr/>
        <w:spacing/>
        <w:ind w:firstLine="567"/>
        <w:jc w:val="both"/>
        <w:rPr>
          <w:rFonts w:eastAsia="Calibri"/>
          <w:bCs/>
          <w:i/>
          <w:sz w:val="26"/>
          <w:szCs w:val="26"/>
        </w:rPr>
      </w:pPr>
      <w:r>
        <w:rPr>
          <w:i/>
          <w:iCs/>
          <w:sz w:val="26"/>
          <w:szCs w:val="26"/>
        </w:rPr>
        <w:t xml:space="preserve">- Căn cứ vào hồ sơ vay vốn của [Tên khách hàng];</w:t>
      </w:r>
      <w:r>
        <w:rPr>
          <w:rFonts w:eastAsia="Calibri"/>
          <w:bCs/>
          <w:i/>
          <w:sz w:val="26"/>
          <w:szCs w:val="26"/>
        </w:rPr>
      </w:r>
    </w:p>
    <w:p>
      <w:pPr>
        <w:pBdr/>
        <w:spacing w:before="120"/>
        <w:ind w:firstLine="567"/>
        <w:jc w:val="both"/>
        <w:rPr>
          <w:rFonts w:eastAsia="Calibri"/>
          <w:b/>
          <w:sz w:val="26"/>
          <w:szCs w:val="26"/>
        </w:rPr>
      </w:pPr>
      <w:r>
        <w:rPr>
          <w:b/>
          <w:bCs/>
          <w:sz w:val="26"/>
          <w:szCs w:val="26"/>
        </w:rPr>
        <w:t xml:space="preserve">Phần A. BÁO CÁO ĐÁNH GIÁ HỒ SƠ VÀ ĐỀ XUẤT CHO VAY CỦA NGƯỜI QUAN HỆ KHÁCH HÀNG</w:t>
      </w:r>
      <w:r>
        <w:rPr>
          <w:rFonts w:eastAsia="Calibri"/>
          <w:b/>
          <w:sz w:val="26"/>
          <w:szCs w:val="26"/>
        </w:rPr>
      </w:r>
    </w:p>
    <w:p>
      <w:pPr>
        <w:pBdr/>
        <w:spacing/>
        <w:ind w:firstLine="567"/>
        <w:jc w:val="both"/>
        <w:rPr>
          <w:rFonts w:eastAsia="Calibri"/>
          <w:b/>
          <w:bCs/>
          <w:sz w:val="26"/>
          <w:szCs w:val="26"/>
        </w:rPr>
      </w:pPr>
      <w:r>
        <w:rPr>
          <w:b/>
          <w:bCs/>
          <w:sz w:val="26"/>
          <w:szCs w:val="26"/>
        </w:rPr>
        <w:t xml:space="preserve">I. Thông tin chung của khách hàng</w:t>
      </w:r>
      <w:r>
        <w:rPr>
          <w:rFonts w:eastAsia="Calibri"/>
          <w:b/>
          <w:bCs/>
          <w:sz w:val="26"/>
          <w:szCs w:val="26"/>
        </w:rPr>
      </w:r>
    </w:p>
    <w:p>
      <w:pPr>
        <w:pBdr/>
        <w:spacing/>
        <w:ind w:firstLine="567"/>
        <w:jc w:val="both"/>
        <w:rPr>
          <w:rFonts w:eastAsia="Calibri"/>
          <w:b/>
          <w:bCs/>
          <w:sz w:val="26"/>
          <w:szCs w:val="26"/>
        </w:rPr>
      </w:pPr>
      <w:r>
        <w:rPr>
          <w:b/>
          <w:bCs/>
          <w:sz w:val="26"/>
          <w:szCs w:val="26"/>
        </w:rPr>
        <w:t xml:space="preserve">1. Giới thiệu về khách hàng</w:t>
      </w:r>
      <w:r>
        <w:rPr>
          <w:rFonts w:eastAsia="Calibri"/>
          <w:b/>
          <w:bCs/>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Tên khách hàng</w:t>
            </w:r>
            <w:r>
              <w:rPr>
                <w:b/>
                <w:sz w:val="26"/>
                <w:szCs w:val="26"/>
              </w:rPr>
            </w:r>
          </w:p>
        </w:tc>
        <w:tc>
          <w:tcPr>
            <w:gridSpan w:val="4"/>
            <w:tcBorders>
              <w:top w:val="single" w:color="auto" w:sz="4" w:space="0"/>
              <w:left w:val="single" w:color="auto" w:sz="4" w:space="0"/>
              <w:bottom w:val="single" w:color="auto" w:sz="4" w:space="0"/>
              <w:right w:val="single" w:color="auto" w:sz="4" w:space="0"/>
            </w:tcBorders>
            <w:tcW w:w="2083" w:type="pct"/>
            <w:vAlign w:val="center"/>
            <w:textDirection w:val="lrTb"/>
            <w:noWrap w:val="false"/>
          </w:tcPr>
          <w:p>
            <w:pPr>
              <w:pBdr/>
              <w:spacing/>
              <w:ind/>
              <w:rPr>
                <w:rFonts w:eastAsia="Calibri"/>
                <w:sz w:val="26"/>
                <w:szCs w:val="26"/>
              </w:rPr>
            </w:pPr>
            <w:r>
              <w:rPr>
                <w:sz w:val="26"/>
                <w:szCs w:val="26"/>
              </w:rPr>
              <w:t xml:space="preserve">[Tên khách hàng]</w:t>
            </w:r>
            <w:r>
              <w:rPr>
                <w:rFonts w:eastAsia="Calibri"/>
                <w:sz w:val="26"/>
                <w:szCs w:val="26"/>
              </w:rPr>
            </w:r>
          </w:p>
        </w:tc>
        <w:tc>
          <w:tcPr>
            <w:gridSpan w:val="3"/>
            <w:tcBorders>
              <w:top w:val="single" w:color="auto" w:sz="4" w:space="0"/>
              <w:left w:val="single" w:color="auto" w:sz="4" w:space="0"/>
              <w:bottom w:val="single" w:color="auto" w:sz="4" w:space="0"/>
              <w:right w:val="single" w:color="auto" w:sz="4" w:space="0"/>
            </w:tcBorders>
            <w:tcW w:w="1639" w:type="pct"/>
            <w:vAlign w:val="center"/>
            <w:textDirection w:val="lrTb"/>
            <w:noWrap w:val="false"/>
          </w:tcPr>
          <w:p>
            <w:pPr>
              <w:pBdr/>
              <w:spacing/>
              <w:ind/>
              <w:rPr>
                <w:i/>
                <w:sz w:val="26"/>
                <w:szCs w:val="26"/>
              </w:rPr>
            </w:pPr>
            <w:r>
              <w:rPr>
                <w:rFonts w:ascii="Times New Roman" w:hAnsi="Times New Roman" w:cs="Times New Roman"/>
                <w:b/>
                <w:bCs/>
                <w:i/>
                <w:iCs/>
                <w:sz w:val="26"/>
                <w:szCs w:val="26"/>
              </w:rPr>
              <w:t xml:space="preserve">Mã KH:</w:t>
            </w:r>
            <w:r>
              <w:rPr>
                <w:rFonts w:ascii="Times New Roman" w:hAnsi="Times New Roman" w:cs="Times New Roman"/>
                <w:i/>
                <w:iCs/>
                <w:sz w:val="26"/>
                <w:szCs w:val="26"/>
              </w:rPr>
              <w:t xml:space="preserve"> [Mã khách hàng]</w:t>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Địa chỉ</w:t>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bCs/>
                <w:sz w:val="26"/>
                <w:szCs w:val="26"/>
              </w:rPr>
            </w:pPr>
            <w:r>
              <w:rPr>
                <w:rFonts w:ascii="Times New Roman" w:hAnsi="Times New Roman" w:cs="Times New Roman"/>
                <w:sz w:val="26"/>
                <w:szCs w:val="26"/>
              </w:rPr>
              <w:t xml:space="preserve">[Địa chỉ]</w:t>
            </w:r>
            <w:r>
              <w:rPr>
                <w:bCs/>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Lĩnh vực kinh doanh chính</w:t>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[Ngành nghề SXKD]</w:t>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điều lệ</w:t>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[Vốn điều lệ] đồng</w:t>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Người đại diện theo pháp luật</w:t>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[Người đại diện theo pháp luật]. Chức vụ: [Chức vụ người đại diện]</w:t>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Hình thức sở hữu</w:t>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t xml:space="preserve">[Loại hình tổ chức]</w:t>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sz w:val="26"/>
                <w:szCs w:val="26"/>
              </w:rPr>
            </w:pPr>
            <w:r>
              <w:rPr>
                <w:rFonts w:ascii="Times New Roman" w:hAnsi="Times New Roman" w:cs="Times New Roman"/>
                <w:b/>
                <w:bCs/>
                <w:sz w:val="26"/>
                <w:szCs w:val="26"/>
              </w:rPr>
              <w:t xml:space="preserve">Mã cổ phiếu</w:t>
            </w:r>
            <w:r>
              <w:rPr>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OTC</w:t>
            </w:r>
            <w:r>
              <w:rPr>
                <w:rFonts w:eastAsia="Calibri"/>
                <w:sz w:val="26"/>
                <w:szCs w:val="26"/>
              </w:rPr>
            </w:r>
          </w:p>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HASTC</w:t>
            </w:r>
            <w:r>
              <w:rPr>
                <w:rFonts w:eastAsia="Calibri"/>
                <w:sz w:val="26"/>
                <w:szCs w:val="26"/>
              </w:rPr>
            </w:r>
          </w:p>
          <w:p>
            <w:pPr>
              <w:pBdr/>
              <w:spacing/>
              <w:ind/>
              <w:rPr>
                <w:sz w:val="26"/>
                <w:szCs w:val="26"/>
              </w:rPr>
            </w:pPr>
            <w:r/>
            <w:sdt>
              <w:sdtPr>
                <w15:appearance w15:val="boundingBox"/>
                <w:rPr/>
              </w:sdtPr>
              <w:sdtContent>
                <w:r>
                  <w:rPr>
                    <w:rFonts w:ascii="MS Gothic" w:hAnsi="MS Gothic" w:cs="MS Gothic"/>
                    <w:sz w:val="26"/>
                    <w:szCs w:val="26"/>
                  </w:rPr>
                  <w:t xml:space="preserve">☐</w:t>
                </w:r>
              </w:sdtContent>
            </w:sdt>
            <w:r>
              <w:rPr>
                <w:rFonts w:ascii="Times New Roman" w:hAnsi="Times New Roman" w:cs="Times New Roman"/>
                <w:sz w:val="26"/>
                <w:szCs w:val="26"/>
              </w:rPr>
              <w:t xml:space="preserve">HOSE</w:t>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Tổng tài sản đến 31/12/[Năm liền kề]</w:t>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t xml:space="preserve">[Tổng tài sản] đồng</w:t>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Báo cáo tài chính</w:t>
            </w:r>
            <w:r>
              <w:rPr>
                <w:b/>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Đã kiểm toán</w:t>
            </w:r>
            <w:r>
              <w:rPr>
                <w:rFonts w:eastAsia="Calibri"/>
                <w:sz w:val="26"/>
                <w:szCs w:val="26"/>
              </w:rPr>
            </w:r>
          </w:p>
          <w:p>
            <w:pPr>
              <w:pBdr/>
              <w:spacing/>
              <w:ind/>
              <w:rPr>
                <w:i/>
                <w:sz w:val="26"/>
                <w:szCs w:val="26"/>
              </w:rPr>
            </w:pPr>
            <w:r/>
            <w:sdt>
              <w:sdtPr>
                <w15:appearance w15:val="boundingBox"/>
                <w:rPr/>
              </w:sdtPr>
              <w:sdtContent>
                <w:r>
                  <w:rPr>
                    <w:rFonts w:ascii="MS Gothic" w:hAnsi="MS Gothic" w:cs="MS Gothic"/>
                    <w:i/>
                    <w:iCs/>
                    <w:sz w:val="26"/>
                    <w:szCs w:val="26"/>
                  </w:rPr>
                  <w:t xml:space="preserve">☒</w:t>
                </w:r>
              </w:sdtContent>
            </w:sdt>
            <w:r>
              <w:rPr>
                <w:rFonts w:ascii="Times New Roman" w:hAnsi="Times New Roman" w:cs="Times New Roman"/>
                <w:i/>
                <w:iCs/>
                <w:sz w:val="26"/>
                <w:szCs w:val="26"/>
              </w:rPr>
              <w:t xml:space="preserve">Chưa kiểm toán</w:t>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Chủ sở hữu đến</w:t>
            </w:r>
            <w:r>
              <w:rPr>
                <w:b/>
                <w:sz w:val="26"/>
                <w:szCs w:val="26"/>
              </w:rPr>
            </w:r>
          </w:p>
          <w:p>
            <w:pPr>
              <w:pBdr/>
              <w:spacing/>
              <w:ind/>
              <w:rPr>
                <w:b/>
                <w:sz w:val="26"/>
                <w:szCs w:val="26"/>
              </w:rPr>
            </w:pPr>
            <w:r>
              <w:rPr>
                <w:rFonts w:ascii="Times New Roman" w:hAnsi="Times New Roman" w:cs="Times New Roman"/>
                <w:b/>
                <w:bCs/>
                <w:sz w:val="26"/>
                <w:szCs w:val="26"/>
              </w:rPr>
              <w:t xml:space="preserve">31/12/[Năm liền kề]</w:t>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t xml:space="preserve">[Vốn chủ sở hữu]</w:t>
            </w:r>
            <w:r>
              <w:rPr>
                <w:rFonts w:ascii="Times New Roman" w:hAnsi="Times New Roman" w:cs="Times New Roman"/>
                <w:b/>
                <w:bCs/>
                <w:sz w:val="26"/>
                <w:szCs w:val="26"/>
              </w:rPr>
              <w:t xml:space="preserve"> </w:t>
            </w:r>
            <w:r>
              <w:rPr>
                <w:rFonts w:ascii="Times New Roman" w:hAnsi="Times New Roman" w:cs="Times New Roman"/>
                <w:sz w:val="26"/>
                <w:szCs w:val="26"/>
              </w:rPr>
              <w:t xml:space="preserve">đồng</w:t>
            </w:r>
            <w:r>
              <w:rPr>
                <w:sz w:val="26"/>
                <w:szCs w:val="26"/>
              </w:rP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Đang quan hệ tín dụng tại TCTD</w:t>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[Đang QH t.dụng tại TCTD]</w:t>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KQ phân loại nợ gần nhất</w:t>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[Nhóm nợ]</w:t>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Xếp hạng tín dụng</w:t>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 Theo Agribank:</w:t>
            </w:r>
            <w:r>
              <w:rPr>
                <w:rFonts w:ascii="Times New Roman" w:hAnsi="Times New Roman" w:cs="Times New Roman"/>
                <w:b/>
                <w:bCs/>
                <w:sz w:val="26"/>
                <w:szCs w:val="26"/>
              </w:rPr>
              <w:t xml:space="preserve"> </w:t>
            </w:r>
            <w:r>
              <w:rPr>
                <w:rFonts w:ascii="Times New Roman" w:hAnsi="Times New Roman" w:cs="Times New Roman"/>
                <w:sz w:val="26"/>
                <w:szCs w:val="26"/>
              </w:rPr>
              <w:t xml:space="preserve">[Xếp hạng KH theo Agribank]</w:t>
            </w:r>
            <w:r>
              <w:rPr>
                <w:sz w:val="26"/>
                <w:szCs w:val="26"/>
              </w:rPr>
            </w:r>
          </w:p>
        </w:tc>
      </w:tr>
      <w:tr>
        <w:trPr/>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 Theo CIC - NHNN: [Xếp hạng KH theo CIC]</w:t>
            </w:r>
            <w:r>
              <w:rPr>
                <w:sz w:val="26"/>
                <w:szCs w:val="26"/>
              </w:rP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Khoản vay trung dài hạn đã được phê duyệt/ quyết định cho vay</w:t>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duyệt/ngày quyết định cho vay</w:t>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Bởi ai phê duyệt (TB, QĐ phê duyệt)</w:t>
            </w:r>
            <w:r>
              <w:rPr>
                <w:sz w:val="26"/>
                <w:szCs w:val="26"/>
              </w:rPr>
            </w:r>
          </w:p>
          <w:p>
            <w:pPr>
              <w:pBdr/>
              <w:spacing/>
              <w:ind w:right="317"/>
              <w:jc w:val="center"/>
              <w:rPr>
                <w:sz w:val="26"/>
                <w:szCs w:val="26"/>
              </w:rPr>
            </w:pPr>
            <w:r>
              <w:rPr>
                <w:rFonts w:ascii="Times New Roman" w:hAnsi="Times New Roman" w:cs="Times New Roman"/>
                <w:sz w:val="26"/>
                <w:szCs w:val="26"/>
              </w:rPr>
              <w:t xml:space="preserve">...</w:t>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HMTD đã được duyệt/ quyết định cho vay</w:t>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duyệt/ngày quyết định cho vay</w:t>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Bởi ai phê duyệt (TB, QĐ phê duyệt)</w:t>
            </w:r>
            <w:r>
              <w:rPr>
                <w:sz w:val="26"/>
                <w:szCs w:val="26"/>
              </w:rPr>
            </w:r>
          </w:p>
          <w:p>
            <w:pPr>
              <w:pBdr/>
              <w:spacing/>
              <w:ind w:right="317"/>
              <w:jc w:val="center"/>
              <w:rPr>
                <w:sz w:val="26"/>
                <w:szCs w:val="26"/>
              </w:rPr>
            </w:pPr>
            <w:r>
              <w:rPr>
                <w:rFonts w:ascii="Times New Roman" w:hAnsi="Times New Roman" w:cs="Times New Roman"/>
                <w:sz w:val="26"/>
                <w:szCs w:val="26"/>
              </w:rPr>
              <w:t xml:space="preserve">...</w:t>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p>
        </w:tc>
      </w:tr>
    </w:tbl>
    <w:p>
      <w:pPr>
        <w:pBdr/>
        <w:spacing/>
        <w:ind w:firstLine="567"/>
        <w:jc w:val="both"/>
        <w:rPr>
          <w:rFonts w:eastAsia="Calibri"/>
          <w:b/>
          <w:sz w:val="26"/>
          <w:szCs w:val="26"/>
        </w:rPr>
      </w:pPr>
      <w:r>
        <w:rPr>
          <w:b/>
          <w:bCs/>
          <w:sz w:val="26"/>
          <w:szCs w:val="26"/>
        </w:rPr>
        <w:t xml:space="preserve">2. Thông tin hoạt động kinh doanh của khách hàng</w:t>
      </w:r>
      <w:r>
        <w:rPr>
          <w:rFonts w:eastAsia="Calibri"/>
          <w:b/>
          <w:sz w:val="26"/>
          <w:szCs w:val="26"/>
        </w:rPr>
      </w:r>
    </w:p>
    <w:p>
      <w:pPr>
        <w:pBdr/>
        <w:spacing/>
        <w:ind w:firstLine="567"/>
        <w:jc w:val="both"/>
        <w:rPr>
          <w:rFonts w:eastAsia="Calibri"/>
          <w:sz w:val="26"/>
          <w:szCs w:val="26"/>
        </w:rPr>
      </w:pPr>
      <w:r>
        <w:rPr>
          <w:sz w:val="26"/>
          <w:szCs w:val="26"/>
        </w:rPr>
        <w:t xml:space="preserve">Thông tin chung về ngành nghề, hoạt động kinh doanh của khách hàng:</w:t>
      </w:r>
      <w:r>
        <w:rPr>
          <w:rFonts w:eastAsia="Calibri"/>
          <w:sz w:val="26"/>
          <w:szCs w:val="26"/>
        </w:rPr>
      </w:r>
    </w:p>
    <w:p>
      <w:pPr>
        <w:pBdr/>
        <w:spacing/>
        <w:ind w:firstLine="567"/>
        <w:jc w:val="both"/>
        <w:rPr>
          <w:rFonts w:eastAsia="Calibri"/>
          <w:sz w:val="26"/>
          <w:szCs w:val="26"/>
        </w:rPr>
      </w:pPr>
      <w:r>
        <w:rPr>
          <w:sz w:val="26"/>
          <w:szCs w:val="26"/>
        </w:rPr>
        <w:t xml:space="preserve">- Lịch sử hình thành: [Tên khách hàng] được thành lập từ năm ... hoạt động trong lĩnh vực ...</w:t>
      </w:r>
      <w:r>
        <w:rPr>
          <w:rFonts w:eastAsia="Calibri"/>
          <w:sz w:val="26"/>
          <w:szCs w:val="26"/>
        </w:rPr>
      </w:r>
    </w:p>
    <w:p>
      <w:pPr>
        <w:pBdr/>
        <w:spacing/>
        <w:ind w:firstLine="567"/>
        <w:jc w:val="both"/>
        <w:rPr>
          <w:rFonts w:eastAsia="Calibri"/>
          <w:sz w:val="26"/>
          <w:szCs w:val="26"/>
        </w:rPr>
      </w:pPr>
      <w:r>
        <w:rPr>
          <w:sz w:val="26"/>
          <w:szCs w:val="26"/>
        </w:rPr>
        <w:t xml:space="preserve">- Kết quả kinh doanh, doanh thu, lợi nhuận trong 3 năm liền kề: ...</w:t>
      </w:r>
      <w:r>
        <w:rPr>
          <w:rFonts w:eastAsia="Calibri"/>
          <w:sz w:val="26"/>
          <w:szCs w:val="26"/>
        </w:rPr>
      </w:r>
    </w:p>
    <w:p>
      <w:pPr>
        <w:pBdr/>
        <w:spacing/>
        <w:ind w:firstLine="567"/>
        <w:jc w:val="both"/>
        <w:rPr>
          <w:rFonts w:eastAsia="Calibri"/>
          <w:sz w:val="26"/>
          <w:szCs w:val="26"/>
        </w:rPr>
      </w:pPr>
      <w:r>
        <w:rPr>
          <w:sz w:val="26"/>
          <w:szCs w:val="26"/>
        </w:rPr>
        <w:t xml:space="preserve">- Sản phẩm, dịch vụ của [Tên khách hàng] là ...</w:t>
      </w:r>
      <w:r>
        <w:rPr>
          <w:rFonts w:eastAsia="Calibri"/>
          <w:sz w:val="26"/>
          <w:szCs w:val="26"/>
        </w:rPr>
      </w:r>
    </w:p>
    <w:p>
      <w:pPr>
        <w:pBdr/>
        <w:spacing/>
        <w:ind w:firstLine="567"/>
        <w:jc w:val="both"/>
        <w:rPr>
          <w:rFonts w:eastAsia="Calibri"/>
          <w:sz w:val="26"/>
          <w:szCs w:val="26"/>
        </w:rPr>
      </w:pPr>
      <w:r>
        <w:rPr>
          <w:sz w:val="26"/>
          <w:szCs w:val="26"/>
        </w:rPr>
        <w:t xml:space="preserve">- Thị trường chủ yếu của [Tên khách hàng] là ...</w:t>
      </w:r>
      <w:r>
        <w:rPr>
          <w:rFonts w:eastAsia="Calibri"/>
          <w:sz w:val="26"/>
          <w:szCs w:val="26"/>
        </w:rPr>
      </w:r>
    </w:p>
    <w:p>
      <w:pPr>
        <w:pBdr/>
        <w:spacing/>
        <w:ind w:firstLine="567"/>
        <w:jc w:val="both"/>
        <w:rPr>
          <w:rFonts w:eastAsia="Calibri"/>
          <w:sz w:val="26"/>
          <w:szCs w:val="26"/>
        </w:rPr>
      </w:pPr>
      <w:r>
        <w:rPr>
          <w:sz w:val="26"/>
          <w:szCs w:val="26"/>
        </w:rPr>
        <w:t xml:space="preserve">- Kênh phân phối sản phẩm: hiện [Tên khách hàng] có hệ thống đại lý ....</w:t>
      </w:r>
      <w:r>
        <w:rPr>
          <w:rFonts w:eastAsia="Calibri"/>
          <w:sz w:val="26"/>
          <w:szCs w:val="26"/>
        </w:rPr>
      </w:r>
    </w:p>
    <w:p>
      <w:pPr>
        <w:pBdr/>
        <w:spacing/>
        <w:ind w:firstLine="567"/>
        <w:contextualSpacing w:val="true"/>
        <w:jc w:val="both"/>
        <w:rPr>
          <w:sz w:val="26"/>
          <w:szCs w:val="26"/>
        </w:rPr>
      </w:pPr>
      <w:r>
        <w:rPr>
          <w:rFonts w:ascii="Times New Roman" w:hAnsi="Times New Roman" w:cs="Times New Roman"/>
          <w:b/>
          <w:bCs/>
          <w:sz w:val="26"/>
          <w:szCs w:val="26"/>
        </w:rPr>
        <w:t xml:space="preserve">II. Kiểm tra đánh giá về bộ hồ sơ vay vốn</w:t>
      </w:r>
      <w:r>
        <w:rPr>
          <w:sz w:val="26"/>
          <w:szCs w:val="26"/>
        </w:rPr>
      </w:r>
    </w:p>
    <w:p>
      <w:pPr>
        <w:pBdr/>
        <w:tabs>
          <w:tab w:val="left" w:leader="none" w:pos="851"/>
        </w:tabs>
        <w:spacing/>
        <w:ind w:firstLine="567"/>
        <w:jc w:val="both"/>
        <w:rPr>
          <w:rFonts w:eastAsia="Calibri"/>
          <w:sz w:val="26"/>
          <w:szCs w:val="26"/>
        </w:rPr>
      </w:pPr>
      <w:r>
        <w:rPr>
          <w:b/>
          <w:bCs/>
          <w:sz w:val="26"/>
          <w:szCs w:val="26"/>
        </w:rPr>
        <w:t xml:space="preserve">1. Hồ sơ vay vốn: </w:t>
      </w:r>
      <w:r>
        <w:rPr>
          <w:sz w:val="26"/>
          <w:szCs w:val="26"/>
        </w:rPr>
        <w:t xml:space="preserve">Phụ lục Danh mục bộ hồ sơ vay vốn đính kèm.</w:t>
      </w:r>
      <w:r>
        <w:rPr>
          <w:rFonts w:eastAsia="Calibri"/>
          <w:sz w:val="26"/>
          <w:szCs w:val="26"/>
        </w:rPr>
      </w:r>
    </w:p>
    <w:p>
      <w:pPr>
        <w:pBdr/>
        <w:tabs>
          <w:tab w:val="left" w:leader="none" w:pos="851"/>
        </w:tabs>
        <w:spacing/>
        <w:ind w:firstLine="567"/>
        <w:jc w:val="both"/>
        <w:rPr>
          <w:rFonts w:eastAsia="Calibri"/>
          <w:sz w:val="26"/>
          <w:szCs w:val="26"/>
        </w:rPr>
      </w:pPr>
      <w:r>
        <w:rPr>
          <w:b/>
          <w:bCs/>
          <w:sz w:val="26"/>
          <w:szCs w:val="26"/>
        </w:rPr>
        <w:t xml:space="preserve">2. Đánh giá bộ hồ sơ vay vốn:</w:t>
      </w:r>
      <w:r>
        <w:rPr>
          <w:sz w:val="26"/>
          <w:szCs w:val="26"/>
        </w:rPr>
        <w:t xml:space="preserve"> Hồ sơ vay vốn của Khách hàng đầy đủ, hợp lệ, hợp pháp theo quy định để tiến hành thẩm định</w:t>
      </w:r>
      <w:r>
        <w:rPr>
          <w:rFonts w:eastAsia="Calibri"/>
          <w:sz w:val="26"/>
          <w:szCs w:val="26"/>
        </w:rPr>
      </w:r>
    </w:p>
    <w:p>
      <w:pPr>
        <w:pBdr/>
        <w:tabs>
          <w:tab w:val="left" w:leader="none" w:pos="8640"/>
        </w:tabs>
        <w:spacing/>
        <w:ind w:firstLine="567"/>
        <w:jc w:val="both"/>
        <w:rPr>
          <w:rFonts w:eastAsia="Calibri"/>
          <w:b/>
          <w:bCs/>
          <w:sz w:val="26"/>
          <w:szCs w:val="26"/>
        </w:rPr>
      </w:pPr>
      <w:r>
        <w:rPr>
          <w:b/>
          <w:bCs/>
          <w:sz w:val="26"/>
          <w:szCs w:val="26"/>
        </w:rPr>
        <w:t xml:space="preserve">III. Đánh giá năng lực pháp luật dân sự, năng lực hành vi dân sự, năng lực điều hành và quản lý sản xuất kinh doanh của khách hàng.</w:t>
      </w:r>
      <w:r>
        <w:rPr>
          <w:rFonts w:eastAsia="Calibri"/>
          <w:b/>
          <w:bCs/>
          <w:sz w:val="26"/>
          <w:szCs w:val="26"/>
        </w:rPr>
      </w:r>
    </w:p>
    <w:p>
      <w:pPr>
        <w:pBdr/>
        <w:tabs>
          <w:tab w:val="left" w:leader="none" w:pos="8640"/>
        </w:tabs>
        <w:spacing/>
        <w:ind w:firstLine="567"/>
        <w:jc w:val="both"/>
        <w:rPr>
          <w:rFonts w:eastAsia="Calibri"/>
          <w:b/>
          <w:bCs/>
          <w:sz w:val="26"/>
          <w:szCs w:val="26"/>
        </w:rPr>
      </w:pPr>
      <w:r>
        <w:rPr>
          <w:b/>
          <w:bCs/>
          <w:sz w:val="26"/>
          <w:szCs w:val="26"/>
        </w:rPr>
        <w:t xml:space="preserve">1. Đánh giá năng lực pháp luật dân sự, năng lực hành vi dân sự</w:t>
      </w:r>
      <w:r>
        <w:rPr>
          <w:rFonts w:eastAsia="Calibri"/>
          <w:b/>
          <w:bCs/>
          <w:sz w:val="26"/>
          <w:szCs w:val="26"/>
        </w:rPr>
      </w:r>
    </w:p>
    <w:p>
      <w:pPr>
        <w:pBdr/>
        <w:spacing/>
        <w:ind w:firstLine="567"/>
        <w:jc w:val="both"/>
        <w:rPr>
          <w:rFonts w:eastAsia="Calibri"/>
          <w:bCs/>
          <w:sz w:val="26"/>
          <w:szCs w:val="26"/>
        </w:rPr>
      </w:pPr>
      <w:r>
        <w:rPr>
          <w:sz w:val="26"/>
          <w:szCs w:val="26"/>
        </w:rPr>
        <w:t xml:space="preserve">- Danh mục hồ sơ pháp lý:</w:t>
      </w:r>
      <w:r>
        <w:rPr>
          <w:rFonts w:eastAsia="Calibri"/>
          <w:bCs/>
          <w:sz w:val="26"/>
          <w:szCs w:val="26"/>
        </w:rPr>
      </w:r>
    </w:p>
    <w:p>
      <w:pPr>
        <w:pBdr/>
        <w:spacing/>
        <w:ind w:firstLine="567"/>
        <w:jc w:val="both"/>
        <w:rPr>
          <w:sz w:val="26"/>
          <w:szCs w:val="26"/>
        </w:rPr>
      </w:pPr>
      <w:r>
        <w:rPr>
          <w:rFonts w:ascii="Times New Roman" w:hAnsi="Times New Roman" w:cs="Times New Roman"/>
          <w:sz w:val="26"/>
          <w:szCs w:val="26"/>
        </w:rPr>
        <w:t xml:space="preserve">- [Loại giấy tờ pháp lý] số [Số ĐKKD] do [Nơi cấp ĐKKD] cấp lần đầu ngày [Ngày cấp ĐKKD], [Thay đổi ngày cấp ĐKKD]</w:t>
      </w:r>
      <w:r>
        <w:rPr>
          <w:sz w:val="26"/>
          <w:szCs w:val="26"/>
        </w:rPr>
      </w:r>
    </w:p>
    <w:p>
      <w:pPr>
        <w:pBdr/>
        <w:spacing/>
        <w:ind w:firstLine="567"/>
        <w:jc w:val="both"/>
        <w:rPr>
          <w:rFonts w:eastAsia="Arial"/>
          <w:sz w:val="26"/>
          <w:szCs w:val="26"/>
        </w:rPr>
      </w:pPr>
      <w:r>
        <w:rPr>
          <w:sz w:val="26"/>
          <w:szCs w:val="26"/>
        </w:rPr>
        <w:t xml:space="preserve">- Điều lệ công ty sửa đổi bổ sung lần thứ ............. </w:t>
      </w:r>
      <w:r>
        <w:rPr>
          <w:rFonts w:eastAsia="Arial"/>
          <w:sz w:val="26"/>
          <w:szCs w:val="26"/>
        </w:rPr>
      </w:r>
    </w:p>
    <w:p>
      <w:pPr>
        <w:pBdr/>
        <w:spacing/>
        <w:ind w:firstLine="567"/>
        <w:jc w:val="both"/>
        <w:rPr>
          <w:rFonts w:eastAsia="Arial"/>
          <w:sz w:val="26"/>
          <w:szCs w:val="26"/>
        </w:rPr>
      </w:pPr>
      <w:r>
        <w:rPr>
          <w:sz w:val="26"/>
          <w:szCs w:val="26"/>
        </w:rPr>
        <w:t xml:space="preserve">- Biên bản họp [Tên gọi Hội đồng] về việc bầu Chủ tịch [Tên gọi Hội đồng], bổ nhiệm Giám đốc, các Phó Giám đốc và Kế toán trưởng Công ty ngày ....../...../......</w:t>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là Ông (bà) .........  số .............. ngày ....../...../......</w:t>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Quyết định bổ nhiệm Phó Giám đốc là Ông (bà) .........  số .............. ngày ....../...../......</w:t>
      </w:r>
      <w:r>
        <w:rPr>
          <w:sz w:val="26"/>
          <w:szCs w:val="26"/>
        </w:rPr>
      </w:r>
    </w:p>
    <w:p>
      <w:pPr>
        <w:pBdr/>
        <w:spacing/>
        <w:ind w:firstLine="567"/>
        <w:jc w:val="both"/>
        <w:rPr>
          <w:sz w:val="26"/>
          <w:szCs w:val="26"/>
        </w:rPr>
      </w:pPr>
      <w:r>
        <w:rPr>
          <w:rFonts w:ascii="Times New Roman" w:hAnsi="Times New Roman" w:cs="Times New Roman"/>
          <w:sz w:val="26"/>
          <w:szCs w:val="26"/>
        </w:rPr>
        <w:t xml:space="preserve">- [Giấy tờ ủy quyền]</w:t>
      </w:r>
      <w:r>
        <w:rPr>
          <w:sz w:val="26"/>
          <w:szCs w:val="26"/>
        </w:rPr>
      </w:r>
    </w:p>
    <w:p>
      <w:pPr>
        <w:pBdr/>
        <w:spacing/>
        <w:ind w:firstLine="567"/>
        <w:jc w:val="both"/>
        <w:rPr>
          <w:rFonts w:eastAsia="Arial"/>
          <w:sz w:val="26"/>
          <w:szCs w:val="26"/>
        </w:rPr>
      </w:pPr>
      <w:r>
        <w:rPr>
          <w:sz w:val="26"/>
          <w:szCs w:val="26"/>
        </w:rPr>
        <w:t xml:space="preserve">- Quyết định bổ nhiệm kế toán trưởng là ông (bà) [Tên kế toán trưởng] số ....... ngày ....../...../...... </w:t>
      </w:r>
      <w:r>
        <w:rPr>
          <w:rFonts w:eastAsia="Arial"/>
          <w:sz w:val="26"/>
          <w:szCs w:val="26"/>
        </w:rPr>
      </w:r>
    </w:p>
    <w:p>
      <w:pPr>
        <w:pBdr/>
        <w:spacing/>
        <w:ind w:firstLine="567"/>
        <w:jc w:val="both"/>
        <w:rPr>
          <w:rFonts w:eastAsia="Arial"/>
          <w:sz w:val="26"/>
          <w:szCs w:val="26"/>
        </w:rPr>
      </w:pPr>
      <w:r>
        <w:rPr>
          <w:sz w:val="26"/>
          <w:szCs w:val="26"/>
        </w:rPr>
        <w:t xml:space="preserve">- Chứng chỉ hành nghề/Giấy chứng nhận đủ điều kiện kinh doanh/Giấy phép/Hạn ngạch XNK (nếu có): ....</w:t>
      </w:r>
      <w:r>
        <w:rPr>
          <w:rFonts w:eastAsia="Arial"/>
          <w:sz w:val="26"/>
          <w:szCs w:val="26"/>
        </w:rPr>
      </w:r>
    </w:p>
    <w:p>
      <w:pPr>
        <w:pBdr/>
        <w:spacing/>
        <w:ind w:firstLine="567"/>
        <w:jc w:val="both"/>
        <w:rPr>
          <w:rFonts w:eastAsia="Arial"/>
          <w:sz w:val="26"/>
          <w:szCs w:val="26"/>
        </w:rPr>
      </w:pPr>
      <w:r>
        <w:rPr>
          <w:sz w:val="26"/>
          <w:szCs w:val="26"/>
        </w:rPr>
        <w:t xml:space="preserve">- Giấy chứng nhận phần vốn góp của ..........</w:t>
      </w:r>
      <w:r>
        <w:rPr>
          <w:rFonts w:eastAsia="Arial"/>
          <w:sz w:val="26"/>
          <w:szCs w:val="26"/>
        </w:rPr>
      </w:r>
    </w:p>
    <w:p>
      <w:pPr>
        <w:pBdr/>
        <w:spacing/>
        <w:ind w:firstLine="567"/>
        <w:jc w:val="both"/>
        <w:rPr>
          <w:rFonts w:eastAsia="Arial"/>
          <w:sz w:val="26"/>
          <w:szCs w:val="26"/>
        </w:rPr>
      </w:pPr>
      <w:r>
        <w:rPr>
          <w:sz w:val="26"/>
          <w:szCs w:val="26"/>
        </w:rPr>
        <w:t xml:space="preserve">- Danh sách thành viên góp vốn.</w:t>
      </w:r>
      <w:r>
        <w:rPr>
          <w:rFonts w:eastAsia="Arial"/>
          <w:sz w:val="26"/>
          <w:szCs w:val="26"/>
        </w:rPr>
      </w:r>
    </w:p>
    <w:p>
      <w:pPr>
        <w:pBdr/>
        <w:spacing/>
        <w:ind w:firstLine="567"/>
        <w:jc w:val="both"/>
        <w:rPr>
          <w:rFonts w:eastAsia="Arial"/>
          <w:sz w:val="26"/>
          <w:szCs w:val="26"/>
        </w:rPr>
      </w:pPr>
      <w:r>
        <w:rPr>
          <w:sz w:val="26"/>
          <w:szCs w:val="26"/>
        </w:rPr>
        <w:t xml:space="preserve">- Danh sách thành viên [Tên gọi Hội đồng]</w:t>
      </w:r>
      <w:r>
        <w:rPr>
          <w:rFonts w:eastAsia="Arial"/>
          <w:sz w:val="26"/>
          <w:szCs w:val="26"/>
        </w:rPr>
      </w:r>
    </w:p>
    <w:p>
      <w:pPr>
        <w:pBdr/>
        <w:spacing/>
        <w:ind w:firstLine="567"/>
        <w:jc w:val="both"/>
        <w:rPr>
          <w:rFonts w:eastAsia="Arial"/>
          <w:sz w:val="26"/>
          <w:szCs w:val="26"/>
        </w:rPr>
      </w:pPr>
      <w:r>
        <w:rPr>
          <w:sz w:val="26"/>
          <w:szCs w:val="26"/>
        </w:rPr>
        <w:t xml:space="preserve">- Giấy chứng nhận đăng ký mẫu dấu</w:t>
      </w:r>
      <w:r>
        <w:rPr>
          <w:rFonts w:eastAsia="Arial"/>
          <w:sz w:val="26"/>
          <w:szCs w:val="26"/>
        </w:rPr>
      </w:r>
    </w:p>
    <w:p>
      <w:pPr>
        <w:pBdr/>
        <w:spacing/>
        <w:ind w:firstLine="567"/>
        <w:jc w:val="both"/>
        <w:rPr>
          <w:rFonts w:eastAsia="Arial"/>
          <w:sz w:val="26"/>
          <w:szCs w:val="26"/>
        </w:rPr>
      </w:pPr>
      <w:r>
        <w:rPr>
          <w:sz w:val="26"/>
          <w:szCs w:val="26"/>
        </w:rPr>
        <w:t xml:space="preserve">- [Loại giấy tờ tùy thân] của ông (bà) [Người đại diện] số [CMND] cấp ngày [Ngày cấp]. Nơi cấp: [Nơi cấp]</w:t>
      </w:r>
      <w:r>
        <w:rPr>
          <w:rFonts w:eastAsia="Arial"/>
          <w:sz w:val="26"/>
          <w:szCs w:val="26"/>
        </w:rPr>
      </w:r>
    </w:p>
    <w:p>
      <w:pPr>
        <w:pBdr/>
        <w:spacing/>
        <w:ind w:firstLine="567"/>
        <w:jc w:val="both"/>
        <w:rPr>
          <w:rFonts w:eastAsia="Arial"/>
          <w:sz w:val="26"/>
          <w:szCs w:val="26"/>
        </w:rPr>
      </w:pPr>
      <w:r>
        <w:rPr>
          <w:sz w:val="26"/>
          <w:szCs w:val="26"/>
        </w:rPr>
        <w:t xml:space="preserve">- Chứng minh nhân dân của ông (bà) .......... số ......... do .................. cấp ngày ....../...../......</w:t>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Nghị quyết/Biên bản họp [Tên gọi Hội đồng] thông qua phương án sản xuất kinh doanh vay vốn ngân hàng số ............. ngày ....../...../......</w:t>
      </w:r>
      <w:r>
        <w:rPr>
          <w:sz w:val="26"/>
          <w:szCs w:val="26"/>
        </w:rPr>
      </w:r>
    </w:p>
    <w:p>
      <w:pPr>
        <w:pBdr/>
        <w:spacing/>
        <w:ind w:firstLine="567"/>
        <w:jc w:val="both"/>
        <w:rPr>
          <w:rFonts w:eastAsia="Arial"/>
          <w:bCs/>
          <w:sz w:val="26"/>
          <w:szCs w:val="26"/>
        </w:rPr>
      </w:pPr>
      <w:r>
        <w:rPr>
          <w:sz w:val="26"/>
          <w:szCs w:val="26"/>
          <w:highlight w:val="yellow"/>
        </w:rPr>
        <w:t xml:space="preserve">Nghị quyết/Biên bản họp của cấp có thẩm quyền theo điều lệ v/v phê duyệt phương án SXKD, dịch vụ/Dự án đầu tư, việc vay vốn NH, bảo đảm tiền vay</w:t>
      </w:r>
      <w:r>
        <w:rPr>
          <w:rFonts w:eastAsia="Arial"/>
          <w:bCs/>
          <w:sz w:val="26"/>
          <w:szCs w:val="26"/>
        </w:rPr>
      </w:r>
    </w:p>
    <w:p>
      <w:pPr>
        <w:pBdr/>
        <w:spacing/>
        <w:ind w:firstLine="567"/>
        <w:jc w:val="both"/>
        <w:rPr>
          <w:sz w:val="26"/>
          <w:szCs w:val="26"/>
        </w:rPr>
      </w:pPr>
      <w:r>
        <w:rPr>
          <w:rFonts w:ascii="Times New Roman" w:hAnsi="Times New Roman" w:cs="Times New Roman"/>
          <w:b/>
          <w:bCs/>
          <w:sz w:val="26"/>
          <w:szCs w:val="26"/>
        </w:rPr>
        <w:t xml:space="preserve">Nhận xét:</w:t>
      </w:r>
      <w:r>
        <w:rPr>
          <w:rFonts w:ascii="Times New Roman" w:hAnsi="Times New Roman" w:cs="Times New Roman"/>
          <w:sz w:val="26"/>
          <w:szCs w:val="26"/>
        </w:rPr>
        <w:t xml:space="preserve"> Tại thời điểm lập báo cáo thẩm định:</w:t>
      </w:r>
      <w:r>
        <w:rPr>
          <w:sz w:val="26"/>
          <w:szCs w:val="26"/>
        </w:rPr>
      </w:r>
    </w:p>
    <w:p>
      <w:pPr>
        <w:pBdr/>
        <w:spacing/>
        <w:ind w:firstLine="567"/>
        <w:jc w:val="both"/>
        <w:rPr>
          <w:sz w:val="26"/>
          <w:szCs w:val="26"/>
        </w:rPr>
      </w:pPr>
      <w:r>
        <w:rPr>
          <w:rFonts w:ascii="Times New Roman" w:hAnsi="Times New Roman" w:cs="Times New Roman"/>
          <w:sz w:val="26"/>
          <w:szCs w:val="26"/>
        </w:rPr>
        <w:t xml:space="preserve">- Việc thành lập và hoạt động của khách hàng hợp pháp</w:t>
      </w:r>
      <w:r>
        <w:rPr>
          <w:sz w:val="26"/>
          <w:szCs w:val="26"/>
        </w:rPr>
      </w:r>
    </w:p>
    <w:p>
      <w:pPr>
        <w:pBdr/>
        <w:spacing/>
        <w:ind w:firstLine="567"/>
        <w:jc w:val="both"/>
        <w:rPr>
          <w:sz w:val="26"/>
          <w:szCs w:val="26"/>
        </w:rPr>
      </w:pPr>
      <w:r>
        <w:rPr>
          <w:rFonts w:ascii="Times New Roman" w:hAnsi="Times New Roman" w:cs="Times New Roman"/>
          <w:sz w:val="26"/>
          <w:szCs w:val="26"/>
        </w:rPr>
        <w:t xml:space="preserve">- Hồ sơ pháp lý của khách hàng đầy đủ, phù hợp với quy định theo điều lệ công ty và quy định của Pháp luật, đảm bảo theo quy định của Agribank.</w:t>
      </w:r>
      <w:r>
        <w:rPr>
          <w:sz w:val="26"/>
          <w:szCs w:val="26"/>
        </w:rPr>
      </w:r>
    </w:p>
    <w:p>
      <w:pPr>
        <w:pBdr/>
        <w:spacing/>
        <w:ind w:firstLine="567"/>
        <w:jc w:val="both"/>
        <w:rPr>
          <w:sz w:val="26"/>
          <w:szCs w:val="26"/>
        </w:rPr>
      </w:pPr>
      <w:r>
        <w:rPr>
          <w:rFonts w:ascii="Times New Roman" w:hAnsi="Times New Roman" w:cs="Times New Roman"/>
          <w:sz w:val="26"/>
          <w:szCs w:val="26"/>
        </w:rPr>
        <w:t xml:space="preserve">- Người đại diện của khách hàng có đủ năng lực pháp luật dân sự và năng lực hành vi dân sự.</w:t>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có đủ điều kiện pháp lý để tham gia quan hệ tín dụng.</w:t>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không thuộc đối tượng hạn chế cho vay.</w:t>
      </w:r>
      <w:r>
        <w:rPr>
          <w:sz w:val="26"/>
          <w:szCs w:val="26"/>
        </w:rPr>
      </w:r>
    </w:p>
    <w:p>
      <w:pPr>
        <w:pBdr/>
        <w:spacing/>
        <w:ind w:firstLine="567"/>
        <w:jc w:val="both"/>
        <w:rPr>
          <w:sz w:val="26"/>
          <w:szCs w:val="26"/>
        </w:rPr>
      </w:pPr>
      <w:r>
        <w:rPr>
          <w:rFonts w:ascii="Times New Roman" w:hAnsi="Times New Roman" w:cs="Times New Roman"/>
          <w:b/>
          <w:bCs/>
          <w:sz w:val="26"/>
          <w:szCs w:val="26"/>
        </w:rPr>
        <w:t xml:space="preserve">Kết luận:</w:t>
      </w:r>
      <w:r>
        <w:rPr>
          <w:rFonts w:ascii="Times New Roman" w:hAnsi="Times New Roman" w:cs="Times New Roman"/>
          <w:sz w:val="26"/>
          <w:szCs w:val="26"/>
        </w:rPr>
        <w:t xml:space="preserve"> [Tên khách hàng] là khách hàng có đủ tư cách pháp nhân theo luật định. Người đại diện công ty có đủ năng lực pháp luật dân sự và năng lực hành vi dân sự. Công ty có đủ điều kiện pháp lý để tham gia quan hệ tín dụng. </w:t>
      </w:r>
      <w:r>
        <w:rPr>
          <w:sz w:val="26"/>
          <w:szCs w:val="26"/>
        </w:rPr>
      </w:r>
    </w:p>
    <w:p>
      <w:pPr>
        <w:pBdr/>
        <w:spacing/>
        <w:ind w:firstLine="567"/>
        <w:jc w:val="both"/>
        <w:rPr>
          <w:rFonts w:eastAsia="Calibri"/>
          <w:b/>
          <w:bCs/>
          <w:sz w:val="26"/>
          <w:szCs w:val="26"/>
        </w:rPr>
      </w:pPr>
      <w:r>
        <w:rPr>
          <w:b/>
          <w:bCs/>
          <w:sz w:val="26"/>
          <w:szCs w:val="26"/>
        </w:rPr>
        <w:t xml:space="preserve">2. Đánh giá về năng lực quản trị điều hành</w:t>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883"/>
              <w:widowControl w:val="true"/>
              <w:pBdr/>
              <w:shd w:val="clear" w:color="auto"/>
              <w:spacing w:line="276" w:lineRule="auto"/>
              <w:ind/>
              <w:jc w:val="center"/>
              <w:rPr>
                <w:rFonts w:eastAsia="Calibri"/>
                <w:bCs w:val="0"/>
                <w:sz w:val="24"/>
                <w:szCs w:val="26"/>
              </w:rPr>
            </w:pPr>
            <w:r>
              <w:rPr>
                <w:b/>
                <w:bCs/>
                <w:sz w:val="24"/>
                <w:szCs w:val="24"/>
              </w:rPr>
              <w:t xml:space="preserve">STT</w:t>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pPr>
              <w:pStyle w:val="883"/>
              <w:widowControl w:val="true"/>
              <w:pBdr/>
              <w:shd w:val="clear" w:color="auto"/>
              <w:spacing w:line="276" w:lineRule="auto"/>
              <w:ind/>
              <w:jc w:val="center"/>
              <w:rPr>
                <w:rFonts w:eastAsia="Calibri"/>
                <w:bCs w:val="0"/>
                <w:sz w:val="24"/>
                <w:szCs w:val="26"/>
              </w:rPr>
            </w:pPr>
            <w:r>
              <w:rPr>
                <w:b/>
                <w:bCs/>
                <w:sz w:val="24"/>
                <w:szCs w:val="24"/>
              </w:rPr>
              <w:t xml:space="preserve">Chức danh</w:t>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883"/>
              <w:widowControl w:val="true"/>
              <w:pBdr/>
              <w:shd w:val="clear" w:color="auto"/>
              <w:spacing w:line="276" w:lineRule="auto"/>
              <w:ind/>
              <w:jc w:val="center"/>
              <w:rPr>
                <w:rFonts w:eastAsia="Calibri"/>
                <w:bCs w:val="0"/>
                <w:sz w:val="24"/>
                <w:szCs w:val="26"/>
              </w:rPr>
            </w:pPr>
            <w:r>
              <w:rPr>
                <w:b/>
                <w:bCs/>
                <w:sz w:val="24"/>
                <w:szCs w:val="24"/>
              </w:rPr>
              <w:t xml:space="preserve">Họ tên</w:t>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883"/>
              <w:widowControl w:val="true"/>
              <w:pBdr/>
              <w:shd w:val="clear" w:color="auto"/>
              <w:spacing w:line="276" w:lineRule="auto"/>
              <w:ind/>
              <w:jc w:val="center"/>
              <w:rPr>
                <w:rFonts w:eastAsia="Calibri"/>
                <w:bCs w:val="0"/>
                <w:sz w:val="24"/>
                <w:szCs w:val="26"/>
              </w:rPr>
            </w:pPr>
            <w:r>
              <w:rPr>
                <w:b/>
                <w:bCs/>
                <w:sz w:val="24"/>
                <w:szCs w:val="24"/>
              </w:rPr>
              <w:t xml:space="preserve">Lĩnh vực quản lý</w:t>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pPr>
              <w:pStyle w:val="883"/>
              <w:widowControl w:val="true"/>
              <w:pBdr/>
              <w:shd w:val="clear" w:color="auto"/>
              <w:spacing w:line="276" w:lineRule="auto"/>
              <w:ind/>
              <w:jc w:val="center"/>
              <w:rPr>
                <w:rFonts w:eastAsia="Calibri"/>
                <w:bCs w:val="0"/>
                <w:sz w:val="24"/>
                <w:szCs w:val="26"/>
              </w:rPr>
            </w:pPr>
            <w:r>
              <w:rPr>
                <w:b/>
                <w:bCs/>
                <w:sz w:val="24"/>
                <w:szCs w:val="24"/>
              </w:rPr>
              <w:t xml:space="preserve">Năm sinh</w:t>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883"/>
              <w:widowControl w:val="true"/>
              <w:pBdr/>
              <w:shd w:val="clear" w:color="auto"/>
              <w:spacing w:line="276" w:lineRule="auto"/>
              <w:ind/>
              <w:jc w:val="center"/>
              <w:rPr>
                <w:rFonts w:eastAsia="Calibri"/>
                <w:bCs w:val="0"/>
                <w:sz w:val="24"/>
                <w:szCs w:val="26"/>
              </w:rPr>
            </w:pPr>
            <w:r>
              <w:rPr>
                <w:b/>
                <w:bCs/>
                <w:sz w:val="24"/>
                <w:szCs w:val="24"/>
              </w:rPr>
              <w:t xml:space="preserve">Trình độ</w:t>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Style w:val="883"/>
              <w:widowControl w:val="true"/>
              <w:pBdr/>
              <w:shd w:val="clear" w:color="auto"/>
              <w:spacing w:line="276" w:lineRule="auto"/>
              <w:ind/>
              <w:jc w:val="center"/>
              <w:rPr>
                <w:rFonts w:eastAsia="Calibri"/>
                <w:bCs w:val="0"/>
                <w:sz w:val="24"/>
                <w:szCs w:val="26"/>
              </w:rPr>
            </w:pPr>
            <w:r>
              <w:rPr>
                <w:b/>
                <w:bCs/>
                <w:sz w:val="24"/>
                <w:szCs w:val="24"/>
              </w:rPr>
              <w:t xml:space="preserve">Số năm công tác</w:t>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pPr>
              <w:pStyle w:val="883"/>
              <w:widowControl w:val="true"/>
              <w:pBdr/>
              <w:shd w:val="clear" w:color="auto"/>
              <w:spacing w:line="276" w:lineRule="auto"/>
              <w:ind/>
              <w:jc w:val="center"/>
              <w:rPr>
                <w:rFonts w:eastAsia="Calibri"/>
                <w:bCs w:val="0"/>
                <w:sz w:val="24"/>
                <w:szCs w:val="26"/>
              </w:rPr>
            </w:pPr>
            <w:r>
              <w:rPr>
                <w:b/>
                <w:bCs/>
                <w:sz w:val="24"/>
                <w:szCs w:val="24"/>
              </w:rPr>
              <w:t xml:space="preserve">Thời gian bổ nhiệm gần nhất</w:t>
            </w:r>
            <w:r>
              <w:rPr>
                <w:rFonts w:eastAsia="Calibri"/>
                <w:bCs w:val="0"/>
                <w:sz w:val="24"/>
                <w:szCs w:val="26"/>
              </w:rPr>
            </w:r>
          </w:p>
        </w:tc>
      </w:tr>
      <w:t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883"/>
              <w:widowControl w:val="true"/>
              <w:pBdr/>
              <w:shd w:val="clear" w:color="auto"/>
              <w:spacing w:line="276" w:lineRule="auto"/>
              <w:ind/>
              <w:jc w:val="center"/>
              <w:rPr>
                <w:rFonts w:eastAsia="Calibri"/>
                <w:b w:val="0"/>
                <w:bCs w:val="0"/>
                <w:sz w:val="24"/>
                <w:szCs w:val="26"/>
              </w:rPr>
            </w:pPr>
            <w:r>
              <w:rPr>
                <w:sz w:val="24"/>
                <w:szCs w:val="24"/>
              </w:rPr>
              <w:t xml:space="preserve">[STT]</w:t>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pPr>
              <w:pStyle w:val="883"/>
              <w:widowControl w:val="true"/>
              <w:pBdr/>
              <w:shd w:val="clear" w:color="auto"/>
              <w:spacing w:line="276" w:lineRule="auto"/>
              <w:ind/>
              <w:jc w:val="center"/>
              <w:rPr>
                <w:rFonts w:eastAsia="Calibri"/>
                <w:b w:val="0"/>
                <w:bCs w:val="0"/>
                <w:sz w:val="24"/>
                <w:szCs w:val="26"/>
              </w:rPr>
            </w:pPr>
            <w:r>
              <w:rPr>
                <w:sz w:val="24"/>
                <w:szCs w:val="24"/>
              </w:rPr>
              <w:t xml:space="preserve">[Chức danh]</w:t>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883"/>
              <w:widowControl w:val="true"/>
              <w:pBdr/>
              <w:shd w:val="clear" w:color="auto"/>
              <w:spacing w:line="276" w:lineRule="auto"/>
              <w:ind/>
              <w:jc w:val="center"/>
              <w:rPr>
                <w:rFonts w:eastAsia="Calibri"/>
                <w:b w:val="0"/>
                <w:bCs w:val="0"/>
                <w:sz w:val="24"/>
                <w:szCs w:val="26"/>
              </w:rPr>
            </w:pPr>
            <w:r>
              <w:rPr>
                <w:sz w:val="24"/>
                <w:szCs w:val="24"/>
              </w:rPr>
              <w:t xml:space="preserve">[Họ và tên]</w:t>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883"/>
              <w:widowControl w:val="true"/>
              <w:pBdr/>
              <w:shd w:val="clear" w:color="auto"/>
              <w:spacing w:line="276" w:lineRule="auto"/>
              <w:ind/>
              <w:jc w:val="center"/>
              <w:rPr>
                <w:rFonts w:eastAsia="Calibri"/>
                <w:b w:val="0"/>
                <w:bCs w:val="0"/>
                <w:sz w:val="24"/>
                <w:szCs w:val="26"/>
              </w:rPr>
            </w:pPr>
            <w:r>
              <w:rPr>
                <w:sz w:val="24"/>
                <w:szCs w:val="24"/>
              </w:rPr>
              <w:t xml:space="preserve">[Lĩnh vực quản lý]</w:t>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pPr>
              <w:pStyle w:val="883"/>
              <w:widowControl w:val="true"/>
              <w:pBdr/>
              <w:shd w:val="clear" w:color="auto"/>
              <w:spacing w:line="276" w:lineRule="auto"/>
              <w:ind/>
              <w:jc w:val="center"/>
              <w:rPr>
                <w:rFonts w:eastAsia="Calibri"/>
                <w:b w:val="0"/>
                <w:bCs w:val="0"/>
                <w:sz w:val="24"/>
                <w:szCs w:val="26"/>
              </w:rPr>
            </w:pPr>
            <w:r>
              <w:rPr>
                <w:sz w:val="24"/>
                <w:szCs w:val="24"/>
              </w:rPr>
              <w:t xml:space="preserve">[Năm sinh]</w:t>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883"/>
              <w:widowControl w:val="true"/>
              <w:pBdr/>
              <w:shd w:val="clear" w:color="auto"/>
              <w:spacing w:line="276" w:lineRule="auto"/>
              <w:ind/>
              <w:jc w:val="center"/>
              <w:rPr>
                <w:rFonts w:eastAsia="Calibri"/>
                <w:b w:val="0"/>
                <w:bCs w:val="0"/>
                <w:sz w:val="24"/>
                <w:szCs w:val="26"/>
              </w:rPr>
            </w:pPr>
            <w:r>
              <w:rPr>
                <w:sz w:val="24"/>
                <w:szCs w:val="24"/>
              </w:rPr>
              <w:t xml:space="preserve">[Trình độ]</w:t>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Style w:val="883"/>
              <w:widowControl w:val="true"/>
              <w:pBdr/>
              <w:shd w:val="clear" w:color="auto"/>
              <w:spacing w:line="276" w:lineRule="auto"/>
              <w:ind/>
              <w:jc w:val="center"/>
              <w:rPr>
                <w:rFonts w:eastAsia="Calibri"/>
                <w:b w:val="0"/>
                <w:bCs w:val="0"/>
                <w:sz w:val="24"/>
                <w:szCs w:val="26"/>
              </w:rPr>
            </w:pPr>
            <w:r>
              <w:rPr>
                <w:sz w:val="24"/>
                <w:szCs w:val="24"/>
              </w:rPr>
              <w:t xml:space="preserve">[Số năm công tác]</w:t>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pPr>
              <w:pStyle w:val="883"/>
              <w:widowControl w:val="true"/>
              <w:pBdr/>
              <w:shd w:val="clear" w:color="auto"/>
              <w:spacing w:line="276" w:lineRule="auto"/>
              <w:ind/>
              <w:jc w:val="center"/>
              <w:rPr>
                <w:rFonts w:eastAsia="Calibri"/>
                <w:b w:val="0"/>
                <w:bCs w:val="0"/>
                <w:sz w:val="24"/>
                <w:szCs w:val="26"/>
              </w:rPr>
            </w:pPr>
            <w:r>
              <w:rPr>
                <w:sz w:val="24"/>
                <w:szCs w:val="24"/>
              </w:rPr>
              <w:t xml:space="preserve">[Thời gian bổ nhiệm]</w:t>
            </w:r>
            <w:r>
              <w:rPr>
                <w:rFonts w:eastAsia="Calibri"/>
                <w:b w:val="0"/>
                <w:bCs w:val="0"/>
                <w:sz w:val="24"/>
                <w:szCs w:val="26"/>
              </w:rPr>
            </w:r>
          </w:p>
        </w:tc>
      </w:tr>
    </w:tbl>
    <w:p>
      <w:pPr>
        <w:pBdr/>
        <w:spacing w:before="120" w:line="276" w:lineRule="auto"/>
        <w:ind w:firstLine="567"/>
        <w:jc w:val="both"/>
        <w:rPr>
          <w:rFonts w:eastAsia="Arial"/>
          <w:b/>
          <w:sz w:val="26"/>
          <w:szCs w:val="26"/>
        </w:rPr>
      </w:pPr>
      <w:r>
        <w:rPr>
          <w:b/>
          <w:bCs/>
          <w:sz w:val="26"/>
          <w:szCs w:val="26"/>
        </w:rPr>
        <w:t xml:space="preserve">3. Danh sách thành viên/cổ đông chiếm từ 5% vốn điều lệ trở lên</w:t>
      </w:r>
      <w:r>
        <w:tab/>
      </w:r>
      <w:r>
        <w:rPr>
          <w:b/>
          <w:bCs/>
          <w:sz w:val="26"/>
          <w:szCs w:val="26"/>
        </w:rPr>
        <w:t xml:space="preserve">         </w:t>
      </w:r>
      <w:r>
        <w:rPr>
          <w:rFonts w:eastAsia="Arial"/>
          <w:b/>
          <w:sz w:val="26"/>
          <w:szCs w:val="26"/>
        </w:rPr>
      </w:r>
    </w:p>
    <w:p>
      <w:pPr>
        <w:pBdr/>
        <w:spacing w:line="276" w:lineRule="auto"/>
        <w:ind/>
        <w:jc w:val="right"/>
        <w:rPr>
          <w:rFonts w:eastAsia="Arial"/>
          <w:i/>
          <w:color w:val="000000"/>
          <w:szCs w:val="26"/>
        </w:rPr>
      </w:pPr>
      <w:r>
        <w:rPr>
          <w:i/>
          <w:iCs/>
          <w:color w:val="000000"/>
          <w:sz w:val="24"/>
          <w:szCs w:val="24"/>
        </w:rPr>
        <w:t xml:space="preserve"> Đơn vị: đồng</w:t>
      </w:r>
      <w:r>
        <w:rPr>
          <w:rFonts w:eastAsia="Arial"/>
          <w:i/>
          <w:color w:val="000000"/>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STT</w:t>
            </w:r>
            <w:r>
              <w:rPr>
                <w:b/>
                <w:color w:val="000000"/>
                <w:sz w:val="22"/>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Tên cổ đông/ Thành viên</w:t>
            </w:r>
            <w:r>
              <w:rPr>
                <w:b/>
                <w:color w:val="000000"/>
                <w:sz w:val="22"/>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Giấy CMND; Mã số DN</w:t>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Địa chỉ</w:t>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Giá trị cổ phần/</w:t>
            </w:r>
            <w:r>
              <w:rPr>
                <w:b/>
                <w:color w:val="000000"/>
                <w:sz w:val="22"/>
                <w:szCs w:val="26"/>
              </w:rPr>
            </w:r>
          </w:p>
          <w:p>
            <w:pPr>
              <w:pBdr/>
              <w:spacing/>
              <w:ind/>
              <w:jc w:val="center"/>
              <w:rPr>
                <w:b/>
                <w:color w:val="000000"/>
                <w:sz w:val="22"/>
                <w:szCs w:val="26"/>
              </w:rPr>
            </w:pPr>
            <w:r>
              <w:rPr>
                <w:rFonts w:ascii="Times New Roman" w:hAnsi="Times New Roman" w:cs="Times New Roman"/>
                <w:b/>
                <w:bCs/>
                <w:color w:val="000000"/>
                <w:sz w:val="22"/>
                <w:szCs w:val="22"/>
              </w:rPr>
              <w:t xml:space="preserve">Vốn góp</w:t>
            </w:r>
            <w:r>
              <w:rPr>
                <w:b/>
                <w:color w:val="000000"/>
                <w:sz w:val="22"/>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Tỷ lệ (%)</w:t>
            </w:r>
            <w:r>
              <w:rPr>
                <w:b/>
                <w:color w:val="000000"/>
                <w:sz w:val="22"/>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Style w:val="883"/>
              <w:widowControl w:val="true"/>
              <w:pBdr/>
              <w:shd w:val="clear" w:color="auto"/>
              <w:spacing w:line="240" w:lineRule="auto"/>
              <w:ind/>
              <w:jc w:val="center"/>
              <w:rPr>
                <w:rFonts w:eastAsia="Calibri"/>
                <w:b w:val="0"/>
                <w:bCs w:val="0"/>
                <w:sz w:val="24"/>
                <w:szCs w:val="26"/>
              </w:rPr>
            </w:pPr>
            <w:r>
              <w:rPr>
                <w:sz w:val="24"/>
                <w:szCs w:val="24"/>
              </w:rPr>
              <w:t xml:space="preserve">[STT]</w:t>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Style w:val="883"/>
              <w:widowControl w:val="true"/>
              <w:pBdr/>
              <w:shd w:val="clear" w:color="auto"/>
              <w:spacing w:line="240" w:lineRule="auto"/>
              <w:ind/>
              <w:jc w:val="center"/>
              <w:rPr>
                <w:rFonts w:eastAsia="Calibri"/>
                <w:b w:val="0"/>
                <w:bCs w:val="0"/>
                <w:sz w:val="24"/>
                <w:szCs w:val="26"/>
              </w:rPr>
            </w:pPr>
            <w:r>
              <w:rPr>
                <w:sz w:val="24"/>
                <w:szCs w:val="24"/>
              </w:rPr>
              <w:t xml:space="preserve">[Tên cổ đông/Thành viên]</w:t>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Style w:val="883"/>
              <w:widowControl w:val="true"/>
              <w:pBdr/>
              <w:shd w:val="clear" w:color="auto"/>
              <w:spacing w:line="240" w:lineRule="auto"/>
              <w:ind/>
              <w:jc w:val="center"/>
              <w:rPr>
                <w:rFonts w:eastAsia="Calibri"/>
                <w:b w:val="0"/>
                <w:bCs w:val="0"/>
                <w:sz w:val="24"/>
                <w:szCs w:val="26"/>
              </w:rPr>
            </w:pPr>
            <w:r>
              <w:rPr>
                <w:sz w:val="24"/>
                <w:szCs w:val="24"/>
              </w:rPr>
              <w:t xml:space="preserve">[CMND/Mã số DN]</w:t>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Style w:val="883"/>
              <w:widowControl w:val="true"/>
              <w:pBdr/>
              <w:shd w:val="clear" w:color="auto"/>
              <w:spacing w:line="240" w:lineRule="auto"/>
              <w:ind/>
              <w:jc w:val="center"/>
              <w:rPr>
                <w:rFonts w:eastAsia="Calibri"/>
                <w:b w:val="0"/>
                <w:bCs w:val="0"/>
                <w:sz w:val="24"/>
                <w:szCs w:val="26"/>
              </w:rPr>
            </w:pPr>
            <w:r>
              <w:rPr>
                <w:sz w:val="24"/>
                <w:szCs w:val="24"/>
              </w:rPr>
              <w:t xml:space="preserve">[Địa chỉ]</w:t>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Style w:val="883"/>
              <w:widowControl w:val="true"/>
              <w:pBdr/>
              <w:shd w:val="clear" w:color="auto"/>
              <w:spacing w:line="240" w:lineRule="auto"/>
              <w:ind/>
              <w:jc w:val="center"/>
              <w:rPr>
                <w:rFonts w:eastAsia="Calibri"/>
                <w:b w:val="0"/>
                <w:bCs w:val="0"/>
                <w:sz w:val="24"/>
                <w:szCs w:val="26"/>
              </w:rPr>
            </w:pPr>
            <w:r>
              <w:rPr>
                <w:sz w:val="24"/>
                <w:szCs w:val="24"/>
              </w:rPr>
              <w:t xml:space="preserve">[Giá trị cổ phần, vốn góp]</w:t>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883"/>
              <w:widowControl w:val="true"/>
              <w:pBdr/>
              <w:shd w:val="clear" w:color="auto"/>
              <w:spacing w:line="240" w:lineRule="auto"/>
              <w:ind/>
              <w:jc w:val="center"/>
              <w:rPr>
                <w:rFonts w:eastAsia="Calibri"/>
                <w:b w:val="0"/>
                <w:bCs w:val="0"/>
                <w:sz w:val="24"/>
                <w:szCs w:val="26"/>
              </w:rPr>
            </w:pPr>
            <w:r>
              <w:rPr>
                <w:sz w:val="24"/>
                <w:szCs w:val="24"/>
              </w:rPr>
              <w:t xml:space="preserve">[Tỷ lệ cổ phần, vốn góp]%</w:t>
            </w:r>
            <w:r>
              <w:rPr>
                <w:rFonts w:eastAsia="Calibri"/>
                <w:b w:val="0"/>
                <w:bCs w:val="0"/>
                <w:sz w:val="24"/>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szCs w:val="26"/>
              </w:rPr>
            </w:pPr>
            <w:r>
              <w:rPr>
                <w:b/>
                <w:szCs w:val="26"/>
              </w:rPr>
            </w:r>
            <w:r>
              <w:rPr>
                <w:b/>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Tổng cộng</w:t>
            </w:r>
            <w:r>
              <w:rPr>
                <w:b/>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b/>
                <w:szCs w:val="26"/>
              </w:rPr>
            </w:pPr>
            <w:r>
              <w:rPr>
                <w:b/>
                <w:szCs w:val="26"/>
              </w:rPr>
            </w:r>
            <w:r>
              <w:rPr>
                <w:b/>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b/>
                <w:szCs w:val="26"/>
              </w:rPr>
            </w:pPr>
            <w:r>
              <w:rPr>
                <w:b/>
                <w:szCs w:val="26"/>
              </w:rPr>
            </w:r>
            <w:r>
              <w:rPr>
                <w:b/>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[Tổng Giá trị cổ phần, vốn góp]</w:t>
            </w:r>
            <w:r>
              <w:rPr>
                <w:b/>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100%</w:t>
            </w:r>
            <w:r>
              <w:rPr>
                <w:b/>
                <w:szCs w:val="26"/>
              </w:rPr>
            </w:r>
          </w:p>
        </w:tc>
      </w:tr>
    </w:tbl>
    <w:p>
      <w:pPr>
        <w:pBdr/>
        <w:spacing w:before="120" w:line="276" w:lineRule="auto"/>
        <w:ind w:firstLine="567"/>
        <w:jc w:val="both"/>
        <w:rPr>
          <w:rFonts w:eastAsia="Arial"/>
          <w:b/>
          <w:color w:val="000000"/>
          <w:sz w:val="26"/>
          <w:szCs w:val="26"/>
        </w:rPr>
      </w:pPr>
      <w:r>
        <w:rPr>
          <w:b/>
          <w:bCs/>
          <w:color w:val="000000"/>
          <w:sz w:val="26"/>
          <w:szCs w:val="26"/>
        </w:rPr>
        <w:t xml:space="preserve">4. Danh sách người có liên quan của khách hàng</w:t>
      </w:r>
      <w:r>
        <w:rPr>
          <w:rFonts w:eastAsia="Arial"/>
          <w:b/>
          <w:color w:val="000000"/>
          <w:sz w:val="26"/>
          <w:szCs w:val="26"/>
        </w:rPr>
      </w:r>
    </w:p>
    <w:tbl>
      <w:tblPr>
        <w:tblStyle w:val="82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Style w:val="885"/>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STT</w:t>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Style w:val="885"/>
              <w:widowControl w:val="true"/>
              <w:pBdr/>
              <w:shd w:val="clear" w:color="auto"/>
              <w:spacing w:line="240" w:lineRule="auto"/>
              <w:ind/>
              <w:jc w:val="center"/>
              <w:rPr>
                <w:rStyle w:val="893"/>
                <w:sz w:val="24"/>
                <w:szCs w:val="26"/>
              </w:rPr>
            </w:pPr>
            <w:r>
              <w:rPr>
                <w:rFonts w:ascii="Times New Roman" w:hAnsi="Times New Roman" w:cs="Times New Roman"/>
                <w:b/>
                <w:bCs/>
                <w:color w:val="000000"/>
                <w:sz w:val="24"/>
                <w:szCs w:val="24"/>
              </w:rPr>
              <w:t xml:space="preserve">Tên pháp nhân/</w:t>
            </w:r>
            <w:r>
              <w:rPr>
                <w:rStyle w:val="893"/>
                <w:sz w:val="24"/>
                <w:szCs w:val="26"/>
              </w:rPr>
            </w:r>
          </w:p>
          <w:p>
            <w:pPr>
              <w:pStyle w:val="885"/>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cá nhân</w:t>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Style w:val="885"/>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Mã số DN/CMND</w:t>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Style w:val="885"/>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Tỷ lệ sở hữu/Mối quan hệ</w:t>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Style w:val="885"/>
              <w:widowControl w:val="true"/>
              <w:pBdr/>
              <w:shd w:val="clear" w:color="auto"/>
              <w:spacing w:line="240" w:lineRule="auto"/>
              <w:ind/>
              <w:jc w:val="center"/>
              <w:rPr>
                <w:rStyle w:val="893"/>
                <w:sz w:val="24"/>
                <w:szCs w:val="26"/>
              </w:rPr>
            </w:pPr>
            <w:r>
              <w:rPr>
                <w:rFonts w:ascii="Times New Roman" w:hAnsi="Times New Roman" w:cs="Times New Roman"/>
                <w:b/>
                <w:bCs/>
                <w:color w:val="000000"/>
                <w:sz w:val="24"/>
                <w:szCs w:val="24"/>
              </w:rPr>
              <w:t xml:space="preserve">Ngành nghề kinh doanh</w:t>
            </w:r>
            <w:r>
              <w:rPr>
                <w:rStyle w:val="893"/>
                <w:sz w:val="24"/>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Bdr/>
              <w:spacing/>
              <w:ind/>
              <w:jc w:val="center"/>
              <w:rPr>
                <w:szCs w:val="26"/>
              </w:rPr>
            </w:pPr>
            <w:r>
              <w:rPr>
                <w:rFonts w:ascii="Times New Roman" w:hAnsi="Times New Roman" w:cs="Times New Roman"/>
                <w:sz w:val="24"/>
                <w:szCs w:val="24"/>
              </w:rPr>
              <w:t xml:space="preserve">[STT]</w:t>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Bdr/>
              <w:spacing/>
              <w:ind/>
              <w:jc w:val="center"/>
              <w:rPr>
                <w:szCs w:val="26"/>
              </w:rPr>
            </w:pPr>
            <w:r>
              <w:rPr>
                <w:rFonts w:ascii="Times New Roman" w:hAnsi="Times New Roman" w:cs="Times New Roman"/>
                <w:sz w:val="24"/>
                <w:szCs w:val="24"/>
              </w:rPr>
              <w:t xml:space="preserve">[Tên tổ chức/Cá nhân]</w:t>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Cs w:val="26"/>
              </w:rPr>
            </w:pPr>
            <w:r>
              <w:rPr>
                <w:rFonts w:ascii="Times New Roman" w:hAnsi="Times New Roman" w:cs="Times New Roman"/>
                <w:sz w:val="24"/>
                <w:szCs w:val="24"/>
              </w:rPr>
              <w:t xml:space="preserve">[Số ĐKKD/CMND]</w:t>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Bdr/>
              <w:spacing/>
              <w:ind/>
              <w:jc w:val="center"/>
              <w:rPr>
                <w:szCs w:val="26"/>
              </w:rPr>
            </w:pPr>
            <w:r>
              <w:rPr>
                <w:rFonts w:ascii="Times New Roman" w:hAnsi="Times New Roman" w:cs="Times New Roman"/>
                <w:sz w:val="24"/>
                <w:szCs w:val="24"/>
              </w:rPr>
              <w:t xml:space="preserve">[Mối liên quan]</w:t>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Bdr/>
              <w:spacing/>
              <w:ind/>
              <w:jc w:val="center"/>
              <w:rPr>
                <w:szCs w:val="26"/>
              </w:rPr>
            </w:pPr>
            <w:r>
              <w:rPr>
                <w:szCs w:val="26"/>
              </w:rPr>
            </w:r>
            <w:r>
              <w:rPr>
                <w:szCs w:val="26"/>
              </w:rPr>
            </w:r>
          </w:p>
        </w:tc>
      </w:tr>
    </w:tbl>
    <w:p>
      <w:pPr>
        <w:pBdr/>
        <w:spacing/>
        <w:ind w:firstLine="567"/>
        <w:jc w:val="both"/>
        <w:rPr>
          <w:rFonts w:eastAsia="Calibri"/>
          <w:b/>
          <w:sz w:val="26"/>
          <w:szCs w:val="26"/>
        </w:rPr>
      </w:pPr>
      <w:r>
        <w:rPr>
          <w:b/>
          <w:bCs/>
          <w:sz w:val="26"/>
          <w:szCs w:val="26"/>
        </w:rPr>
        <w:t xml:space="preserve">IV. Hồ sơ kinh tế của khách hàng </w:t>
      </w:r>
      <w:r>
        <w:rPr>
          <w:rFonts w:eastAsia="Calibri"/>
          <w:b/>
          <w:sz w:val="26"/>
          <w:szCs w:val="26"/>
        </w:rPr>
      </w:r>
    </w:p>
    <w:p>
      <w:pPr>
        <w:pBdr/>
        <w:spacing/>
        <w:ind w:firstLine="567"/>
        <w:jc w:val="both"/>
        <w:rPr>
          <w:rFonts w:eastAsia="Calibri"/>
          <w:b/>
          <w:sz w:val="26"/>
          <w:szCs w:val="26"/>
        </w:rPr>
      </w:pPr>
      <w:r>
        <w:rPr>
          <w:b/>
          <w:bCs/>
          <w:sz w:val="26"/>
          <w:szCs w:val="26"/>
        </w:rPr>
        <w:t xml:space="preserve">1. Hồ sơ khách hàng cung cấp</w:t>
      </w:r>
      <w:r>
        <w:rPr>
          <w:rFonts w:eastAsia="Calibri"/>
          <w:b/>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đến [Ngày báo cáo] và các năm [Năm liền kề -1], [Năm liền kề].</w:t>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tình hình tài chính đến quý gần nhất</w:t>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(Trường hợp DN không lập báo cáo tài chính quý thì lập báo cáo tình hình tài chính đến quý gần nhất);  </w:t>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(Báo cáo tài chính 2 năm liền kề trừ doanh nghiệp mới được thành lập). </w:t>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phải được kiểm toán và/ báo cáo tài ch</w:t>
      </w:r>
      <w:r>
        <w:rPr>
          <w:rFonts w:ascii="Times New Roman" w:hAnsi="Times New Roman" w:cs="Times New Roman"/>
          <w:sz w:val="26"/>
          <w:szCs w:val="26"/>
          <w:highlight w:val="yellow"/>
        </w:rPr>
        <w:t xml:space="preserve">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r>
        <w:rPr>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Sổ phụ chi tiết các khoản nợ phải thu, phải trả (những khoản chiếm tỷ trọng lớn từ 10% tổng nợ phải thu, phải trả trở lên và các khoản phải thu, phải trả nội bộ, với nhóm khách hàng có liên quan); </w:t>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hàng tồn kho (những khoản chiếm tỷ trọng lớn từ 10% tổng giá trị hàng tồn kho); </w:t>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đầu tư tài chính dài hạn, ngắn hạn.</w:t>
      </w:r>
      <w:r>
        <w:rPr>
          <w:sz w:val="26"/>
          <w:szCs w:val="26"/>
        </w:rPr>
      </w:r>
    </w:p>
    <w:p>
      <w:pPr>
        <w:pBdr/>
        <w:spacing/>
        <w:ind w:firstLine="567"/>
        <w:jc w:val="both"/>
        <w:rPr>
          <w:sz w:val="26"/>
          <w:szCs w:val="26"/>
        </w:rPr>
      </w:pPr>
      <w:r>
        <w:rPr>
          <w:rFonts w:ascii="Times New Roman" w:hAnsi="Times New Roman" w:cs="Times New Roman"/>
          <w:sz w:val="26"/>
          <w:szCs w:val="26"/>
        </w:rPr>
        <w:t xml:space="preserve">- Bảng kê nợ vay tại các TCTD;</w:t>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tài khoản tiền gửi các ngân hàng; </w:t>
      </w:r>
      <w:r>
        <w:rPr>
          <w:sz w:val="26"/>
          <w:szCs w:val="26"/>
        </w:rPr>
      </w:r>
    </w:p>
    <w:p>
      <w:pPr>
        <w:pBdr/>
        <w:spacing/>
        <w:ind w:firstLine="567"/>
        <w:jc w:val="both"/>
        <w:rPr>
          <w:sz w:val="26"/>
          <w:szCs w:val="26"/>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Các tài liệu khác (nếu có).</w:t>
      </w:r>
      <w:r>
        <w:rPr>
          <w:sz w:val="26"/>
          <w:szCs w:val="26"/>
        </w:rPr>
      </w:r>
    </w:p>
    <w:p>
      <w:pPr>
        <w:pBdr/>
        <w:tabs>
          <w:tab w:val="left" w:leader="none" w:pos="567"/>
        </w:tabs>
        <w:spacing/>
        <w:ind w:firstLine="567"/>
        <w:jc w:val="both"/>
        <w:rPr>
          <w:sz w:val="26"/>
          <w:szCs w:val="28"/>
        </w:rPr>
      </w:pPr>
      <w:r>
        <w:rPr>
          <w:rFonts w:ascii="Times New Roman" w:hAnsi="Times New Roman" w:cs="Times New Roman"/>
          <w:b/>
          <w:bCs/>
          <w:sz w:val="26"/>
          <w:szCs w:val="26"/>
        </w:rPr>
        <w:t xml:space="preserve">2. Nhận xét</w:t>
      </w:r>
      <w:r>
        <w:rPr>
          <w:rFonts w:ascii="Times New Roman" w:hAnsi="Times New Roman" w:cs="Times New Roman"/>
          <w:sz w:val="26"/>
          <w:szCs w:val="26"/>
        </w:rPr>
        <w:t xml:space="preserve">: Hồ sơ khách hàng cung cấp đầy đủ, hợp pháp, hợp lệ theo quy định của Pháp luật và của Agribank. </w:t>
      </w:r>
      <w:r>
        <w:rPr>
          <w:sz w:val="26"/>
          <w:szCs w:val="28"/>
        </w:rPr>
      </w:r>
    </w:p>
    <w:p>
      <w:pPr>
        <w:pBdr/>
        <w:spacing/>
        <w:ind w:firstLine="567"/>
        <w:jc w:val="both"/>
        <w:rPr>
          <w:b/>
          <w:sz w:val="26"/>
          <w:szCs w:val="28"/>
        </w:rPr>
      </w:pPr>
      <w:r>
        <w:rPr>
          <w:rFonts w:ascii="Times New Roman" w:hAnsi="Times New Roman" w:cs="Times New Roman"/>
          <w:b/>
          <w:bCs/>
          <w:sz w:val="26"/>
          <w:szCs w:val="26"/>
        </w:rPr>
        <w:t xml:space="preserve">V. Tình hình quan hệ tín dụng với Ngân hàng</w:t>
      </w:r>
      <w:r>
        <w:rPr>
          <w:b/>
          <w:sz w:val="26"/>
          <w:szCs w:val="28"/>
        </w:rPr>
      </w:r>
    </w:p>
    <w:p>
      <w:pPr>
        <w:pBdr/>
        <w:spacing/>
        <w:ind w:firstLine="567"/>
        <w:jc w:val="both"/>
        <w:rPr>
          <w:rFonts w:eastAsia="Calibri"/>
          <w:b/>
          <w:sz w:val="26"/>
          <w:szCs w:val="26"/>
        </w:rPr>
      </w:pPr>
      <w:r>
        <w:rPr>
          <w:b/>
          <w:bCs/>
          <w:sz w:val="26"/>
          <w:szCs w:val="26"/>
        </w:rPr>
        <w:t xml:space="preserve">1. Tình hình quan hệ tín dụng với Ngân hàng</w:t>
      </w:r>
      <w:r>
        <w:rPr>
          <w:rFonts w:eastAsia="Calibri"/>
          <w:b/>
          <w:sz w:val="26"/>
          <w:szCs w:val="26"/>
        </w:rPr>
      </w:r>
    </w:p>
    <w:p>
      <w:pPr>
        <w:pBdr/>
        <w:spacing/>
        <w:ind w:firstLine="567"/>
        <w:jc w:val="both"/>
        <w:rPr>
          <w:rFonts w:eastAsia="Calibri"/>
          <w:b/>
          <w:sz w:val="26"/>
          <w:szCs w:val="26"/>
        </w:rPr>
      </w:pPr>
      <w:r>
        <w:rPr>
          <w:b/>
          <w:bCs/>
          <w:sz w:val="26"/>
          <w:szCs w:val="26"/>
        </w:rPr>
        <w:t xml:space="preserve">1.1. Tình hình quan hệ tín dụng của khách hàng vay vốn </w:t>
      </w:r>
      <w:r>
        <w:rPr>
          <w:rFonts w:eastAsia="Calibri"/>
          <w:b/>
          <w:sz w:val="26"/>
          <w:szCs w:val="26"/>
        </w:rPr>
      </w:r>
    </w:p>
    <w:p>
      <w:pPr>
        <w:pBdr/>
        <w:spacing/>
        <w:ind w:firstLine="567"/>
        <w:jc w:val="both"/>
        <w:rPr>
          <w:rFonts w:eastAsia="Calibri"/>
          <w:bCs/>
          <w:sz w:val="26"/>
          <w:szCs w:val="26"/>
        </w:rPr>
      </w:pPr>
      <w:r>
        <w:rPr>
          <w:sz w:val="26"/>
          <w:szCs w:val="26"/>
        </w:rPr>
        <w:t xml:space="preserve">a) Thông tin CIC</w:t>
      </w:r>
      <w:r>
        <w:rPr>
          <w:rFonts w:eastAsia="Calibri"/>
          <w:bCs/>
          <w:sz w:val="26"/>
          <w:szCs w:val="26"/>
        </w:rPr>
      </w:r>
    </w:p>
    <w:p>
      <w:pPr>
        <w:pBdr/>
        <w:spacing/>
        <w:ind w:firstLine="567"/>
        <w:jc w:val="both"/>
        <w:rPr>
          <w:rFonts w:eastAsia="Calibri"/>
          <w:bCs/>
          <w:sz w:val="26"/>
          <w:szCs w:val="26"/>
        </w:rPr>
      </w:pPr>
      <w:r>
        <w:rPr>
          <w:sz w:val="26"/>
          <w:szCs w:val="26"/>
        </w:rPr>
        <w:t xml:space="preserve">- Dư nợ: [Dư nợ tại TCTD khác] đồng</w:t>
      </w:r>
      <w:r>
        <w:rPr>
          <w:rFonts w:eastAsia="Calibri"/>
          <w:bCs/>
          <w:sz w:val="26"/>
          <w:szCs w:val="26"/>
        </w:rPr>
      </w:r>
    </w:p>
    <w:p>
      <w:pPr>
        <w:pBdr/>
        <w:spacing/>
        <w:ind w:firstLine="567"/>
        <w:jc w:val="both"/>
        <w:rPr>
          <w:rFonts w:eastAsia="Calibri"/>
          <w:bCs/>
          <w:sz w:val="26"/>
          <w:szCs w:val="26"/>
        </w:rPr>
      </w:pPr>
      <w:r>
        <w:rPr>
          <w:sz w:val="26"/>
          <w:szCs w:val="26"/>
        </w:rPr>
        <w:t xml:space="preserve">- Nhóm nợ: [Nhóm nợ]</w:t>
      </w:r>
      <w:r>
        <w:rPr>
          <w:rFonts w:eastAsia="Calibri"/>
          <w:bCs/>
          <w:sz w:val="26"/>
          <w:szCs w:val="26"/>
        </w:rPr>
      </w:r>
    </w:p>
    <w:p>
      <w:pPr>
        <w:pBdr/>
        <w:spacing/>
        <w:ind w:firstLine="567"/>
        <w:jc w:val="both"/>
        <w:rPr>
          <w:rFonts w:eastAsia="Calibri"/>
          <w:bCs/>
          <w:sz w:val="26"/>
          <w:szCs w:val="26"/>
        </w:rPr>
      </w:pPr>
      <w:r>
        <w:rPr>
          <w:sz w:val="26"/>
          <w:szCs w:val="26"/>
        </w:rPr>
        <w:t xml:space="preserve">b) Theo thông tin trên hệ thống IPCAS</w:t>
      </w:r>
      <w:r>
        <w:rPr>
          <w:rFonts w:eastAsia="Calibri"/>
          <w:bCs/>
          <w:sz w:val="26"/>
          <w:szCs w:val="26"/>
        </w:rPr>
      </w:r>
    </w:p>
    <w:p>
      <w:pPr>
        <w:pBdr/>
        <w:spacing/>
        <w:ind w:firstLine="567"/>
        <w:jc w:val="both"/>
        <w:rPr>
          <w:rFonts w:eastAsia="Calibri"/>
          <w:bCs/>
          <w:sz w:val="26"/>
          <w:szCs w:val="26"/>
        </w:rPr>
      </w:pPr>
      <w:r>
        <w:rPr>
          <w:sz w:val="26"/>
          <w:szCs w:val="26"/>
        </w:rPr>
        <w:t xml:space="preserve">- Dư nợ: [Dư nợ tại Agribank] đồng</w:t>
      </w:r>
      <w:r>
        <w:rPr>
          <w:rFonts w:eastAsia="Calibri"/>
          <w:bCs/>
          <w:sz w:val="26"/>
          <w:szCs w:val="26"/>
        </w:rPr>
      </w:r>
    </w:p>
    <w:p>
      <w:pPr>
        <w:pBdr/>
        <w:spacing/>
        <w:ind w:firstLine="567"/>
        <w:jc w:val="both"/>
        <w:rPr>
          <w:rFonts w:eastAsia="Calibri"/>
          <w:bCs/>
          <w:sz w:val="26"/>
          <w:szCs w:val="26"/>
        </w:rPr>
      </w:pPr>
      <w:r>
        <w:rPr>
          <w:sz w:val="26"/>
          <w:szCs w:val="26"/>
        </w:rPr>
        <w:t xml:space="preserve">- Nhóm nợ: [Nhóm nợ]</w:t>
      </w:r>
      <w:r>
        <w:rPr>
          <w:rFonts w:eastAsia="Calibri"/>
          <w:bCs/>
          <w:sz w:val="26"/>
          <w:szCs w:val="26"/>
        </w:rPr>
      </w:r>
    </w:p>
    <w:p>
      <w:pPr>
        <w:pBdr/>
        <w:spacing/>
        <w:ind w:firstLine="567"/>
        <w:jc w:val="both"/>
        <w:rPr>
          <w:rFonts w:eastAsia="Arial"/>
          <w:b/>
          <w:sz w:val="26"/>
        </w:rPr>
      </w:pPr>
      <w:r>
        <w:rPr>
          <w:b/>
          <w:bCs/>
          <w:sz w:val="26"/>
          <w:szCs w:val="26"/>
        </w:rPr>
        <w:t xml:space="preserve">1.2. Tình hình quan hệ tín dụng của người có liên quan đến [Tên khách hàng]</w:t>
      </w:r>
      <w:r>
        <w:rPr>
          <w:rFonts w:eastAsia="Arial"/>
          <w:b/>
          <w:sz w:val="26"/>
        </w:rPr>
      </w:r>
    </w:p>
    <w:p>
      <w:pPr>
        <w:pBdr/>
        <w:tabs>
          <w:tab w:val="left" w:leader="none" w:pos="567"/>
        </w:tabs>
        <w:spacing/>
        <w:ind w:firstLine="567"/>
        <w:contextualSpacing w:val="true"/>
        <w:jc w:val="both"/>
        <w:rPr>
          <w:rFonts w:eastAsia="Calibri" w:eastAsiaTheme="minorHAnsi"/>
          <w:b/>
          <w:iCs/>
          <w:sz w:val="26"/>
        </w:rPr>
      </w:pPr>
      <w:r>
        <w:rPr>
          <w:b/>
          <w:bCs/>
          <w:sz w:val="26"/>
          <w:szCs w:val="26"/>
        </w:rPr>
        <w:t xml:space="preserve">a) Theo thông tin CIC</w:t>
      </w:r>
      <w:r>
        <w:rPr>
          <w:rFonts w:eastAsia="Calibri" w:eastAsiaTheme="minorHAnsi"/>
          <w:b/>
          <w:iCs/>
          <w:sz w:val="26"/>
        </w:rPr>
      </w:r>
    </w:p>
    <w:p>
      <w:pPr>
        <w:pBdr/>
        <w:tabs>
          <w:tab w:val="left" w:leader="none" w:pos="567"/>
        </w:tabs>
        <w:spacing/>
        <w:ind/>
        <w:contextualSpacing w:val="true"/>
        <w:jc w:val="right"/>
        <w:rPr>
          <w:rFonts w:eastAsia="Calibri" w:eastAsiaTheme="minorHAnsi"/>
          <w:b/>
          <w:i/>
          <w:iCs/>
          <w:sz w:val="26"/>
        </w:rPr>
      </w:pPr>
      <w:r>
        <w:rPr>
          <w:b/>
          <w:bCs/>
          <w:i/>
          <w:iCs/>
          <w:sz w:val="26"/>
          <w:szCs w:val="26"/>
        </w:rPr>
        <w:t xml:space="preserve">Đơn vị: đồng</w:t>
      </w:r>
      <w:r>
        <w:rPr>
          <w:rFonts w:eastAsia="Calibri" w:eastAsiaTheme="minorHAnsi"/>
          <w:b/>
          <w:i/>
          <w:iCs/>
          <w:sz w:val="26"/>
        </w:rPr>
      </w:r>
    </w:p>
    <w:tbl>
      <w:tblPr>
        <w:tblW w:w="5000" w:type="pct"/>
        <w:tblCellMar>
          <w:left w:w="115" w:type="dxa"/>
          <w:right w:w="1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tabs>
                <w:tab w:val="center" w:leader="none" w:pos="300"/>
              </w:tabs>
              <w:spacing/>
              <w:ind/>
              <w:jc w:val="center"/>
              <w:rPr>
                <w:b/>
                <w:sz w:val="26"/>
                <w:szCs w:val="28"/>
              </w:rPr>
            </w:pPr>
            <w:r>
              <w:rPr>
                <w:rFonts w:ascii="Times New Roman" w:hAnsi="Times New Roman" w:cs="Times New Roman"/>
                <w:b/>
                <w:bCs/>
                <w:sz w:val="26"/>
                <w:szCs w:val="26"/>
              </w:rPr>
              <w:t xml:space="preserve">STT</w:t>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b/>
                <w:sz w:val="26"/>
                <w:szCs w:val="28"/>
              </w:rPr>
            </w:pP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khách hàng</w:t>
            </w:r>
            <w:r>
              <w:rPr>
                <w:b/>
                <w:sz w:val="26"/>
                <w:szCs w:val="28"/>
              </w:rPr>
            </w:r>
          </w:p>
        </w:tc>
        <w:tc>
          <w:tcPr>
            <w:gridSpan w:val="2"/>
            <w:tcBorders>
              <w:top w:val="single" w:color="auto" w:sz="4" w:space="0"/>
              <w:left w:val="single" w:color="auto" w:sz="4" w:space="0"/>
              <w:bottom w:val="single" w:color="auto" w:sz="4" w:space="0"/>
              <w:right w:val="single" w:color="auto" w:sz="4" w:space="0"/>
            </w:tcBorders>
            <w:tcMar>
              <w:left w:w="115" w:type="dxa"/>
              <w:right w:w="115" w:type="dxa"/>
            </w:tcMar>
            <w:tcW w:w="1658"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w:t>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b/>
                <w:sz w:val="26"/>
                <w:szCs w:val="28"/>
              </w:rPr>
            </w:pP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TCTD</w:t>
            </w:r>
            <w:r>
              <w:rPr>
                <w:b/>
                <w:sz w:val="26"/>
                <w:szCs w:val="28"/>
              </w:rPr>
            </w:r>
          </w:p>
        </w:tc>
      </w:tr>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Tổng dư nợ</w:t>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 tại Agribank</w:t>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1</w:t>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sz w:val="26"/>
                <w:szCs w:val="28"/>
              </w:rPr>
            </w:pP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2</w:t>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tabs>
                <w:tab w:val="left" w:leader="none" w:pos="2058"/>
              </w:tabs>
              <w:spacing/>
              <w:ind/>
              <w:jc w:val="center"/>
              <w:rPr>
                <w:sz w:val="26"/>
                <w:szCs w:val="28"/>
              </w:rPr>
            </w:pP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p>
        </w:tc>
      </w:tr>
    </w:tbl>
    <w:p>
      <w:pPr>
        <w:pBdr/>
        <w:spacing w:before="120"/>
        <w:ind w:firstLine="567"/>
        <w:jc w:val="both"/>
        <w:rPr>
          <w:rFonts w:eastAsia="Calibri" w:eastAsiaTheme="minorHAnsi"/>
          <w:b/>
          <w:iCs/>
          <w:sz w:val="26"/>
          <w:szCs w:val="28"/>
        </w:rPr>
      </w:pPr>
      <w:r>
        <w:rPr>
          <w:b/>
          <w:bCs/>
          <w:sz w:val="26"/>
          <w:szCs w:val="26"/>
        </w:rPr>
        <w:t xml:space="preserve">b) Theo thông tin trên hệ thống IPCAS</w:t>
      </w:r>
      <w:r>
        <w:rPr>
          <w:rFonts w:eastAsia="Calibri" w:eastAsiaTheme="minorHAnsi"/>
          <w:b/>
          <w:iCs/>
          <w:sz w:val="26"/>
          <w:szCs w:val="28"/>
        </w:rPr>
      </w:r>
    </w:p>
    <w:p>
      <w:pPr>
        <w:pBdr/>
        <w:spacing/>
        <w:ind w:firstLine="567"/>
        <w:jc w:val="right"/>
        <w:rPr>
          <w:rFonts w:eastAsia="Calibri" w:eastAsiaTheme="minorHAnsi"/>
          <w:b/>
          <w:iCs/>
          <w:sz w:val="26"/>
          <w:szCs w:val="28"/>
        </w:rPr>
      </w:pPr>
      <w:r>
        <w:rPr>
          <w:b/>
          <w:bCs/>
          <w:i/>
          <w:iCs/>
          <w:sz w:val="26"/>
          <w:szCs w:val="26"/>
        </w:rPr>
        <w:t xml:space="preserve">Đơn vị: đồng</w:t>
      </w:r>
      <w:r>
        <w:rPr>
          <w:rFonts w:eastAsia="Calibri" w:eastAsiaTheme="minorHAnsi"/>
          <w:b/>
          <w:iCs/>
          <w:sz w:val="26"/>
          <w:szCs w:val="28"/>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b/>
                <w:bCs/>
              </w:rPr>
            </w:pPr>
            <w:r>
              <w:rPr>
                <w:rFonts w:ascii="Times New Roman" w:hAnsi="Times New Roman" w:cs="Times New Roman"/>
                <w:b/>
                <w:bCs/>
                <w:sz w:val="24"/>
                <w:szCs w:val="24"/>
              </w:rPr>
              <w:t xml:space="preserve">STT</w:t>
            </w:r>
            <w:r>
              <w:rPr>
                <w:b/>
                <w:bCs/>
              </w:rP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Tên khách hàng</w:t>
            </w:r>
            <w:r>
              <w:rPr>
                <w:b/>
                <w:bCs/>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b/>
                <w:bCs/>
              </w:rPr>
            </w:pPr>
            <w:r>
              <w:rPr>
                <w:rFonts w:ascii="Times New Roman" w:hAnsi="Times New Roman" w:cs="Times New Roman"/>
                <w:b/>
                <w:bCs/>
                <w:sz w:val="24"/>
                <w:szCs w:val="24"/>
              </w:rPr>
              <w:t xml:space="preserve">Mã KH</w:t>
            </w:r>
            <w:r>
              <w:rPr>
                <w:b/>
                <w:bCs/>
              </w:rP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Cam kết cấp tín dụng</w:t>
            </w:r>
            <w:r>
              <w:rPr>
                <w:b/>
                <w:bCs/>
              </w:rPr>
            </w:r>
          </w:p>
        </w:tc>
        <w:tc>
          <w:tcPr>
            <w:gridSpan w:val="2"/>
            <w:tcBorders>
              <w:top w:val="single" w:color="auto" w:sz="4" w:space="0"/>
              <w:left w:val="single" w:color="auto" w:sz="4" w:space="0"/>
              <w:bottom w:val="single" w:color="auto" w:sz="4" w:space="0"/>
              <w:right w:val="single" w:color="auto" w:sz="4" w:space="0"/>
            </w:tcBorders>
            <w:tcW w:w="1583"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dư nợ</w:t>
            </w:r>
            <w:r>
              <w:rPr>
                <w:b/>
                <w:bCs/>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b/>
                <w:bCs/>
              </w:rPr>
            </w:pPr>
            <w:r>
              <w:rPr>
                <w:rFonts w:ascii="Times New Roman" w:hAnsi="Times New Roman" w:cs="Times New Roman"/>
                <w:b/>
                <w:bCs/>
                <w:sz w:val="24"/>
                <w:szCs w:val="24"/>
              </w:rPr>
              <w:t xml:space="preserve">Cấp phê duyệt</w:t>
            </w:r>
            <w:r>
              <w:rPr>
                <w:b/>
                <w:bCs/>
              </w:rP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b/>
                <w:bCs/>
              </w:rPr>
            </w:pPr>
            <w:r>
              <w:rPr>
                <w:rFonts w:ascii="Times New Roman" w:hAnsi="Times New Roman" w:cs="Times New Roman"/>
                <w:b/>
                <w:bCs/>
                <w:sz w:val="24"/>
                <w:szCs w:val="24"/>
              </w:rPr>
              <w:t xml:space="preserve">Xếp hạng khách hàng </w:t>
            </w:r>
            <w:r>
              <w:rPr>
                <w:b/>
                <w:bCs/>
              </w:rPr>
            </w:r>
          </w:p>
        </w:tc>
      </w:tr>
      <w:tr>
        <w:trPr>
          <w:tblHeader/>
        </w:trPr>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b/>
                <w:bCs/>
              </w:rPr>
            </w:pPr>
            <w:r>
              <w:rPr>
                <w:rFonts w:ascii="Times New Roman" w:hAnsi="Times New Roman" w:cs="Times New Roman"/>
                <w:b/>
                <w:bCs/>
                <w:sz w:val="24"/>
                <w:szCs w:val="24"/>
              </w:rPr>
              <w:t xml:space="preserve">Ngắn hạn</w:t>
            </w:r>
            <w:r>
              <w:rPr>
                <w:b/>
                <w:bCs/>
              </w:rP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TDH</w:t>
            </w:r>
            <w:r>
              <w:rPr>
                <w:b/>
                <w:bCs/>
              </w:rP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pPr>
            <w:r>
              <w:rPr>
                <w:rFonts w:ascii="Times New Roman" w:hAnsi="Times New Roman" w:cs="Times New Roman"/>
                <w:sz w:val="24"/>
                <w:szCs w:val="24"/>
              </w:rPr>
              <w:t xml:space="preserve">[STT]</w:t>
            </w: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pPr>
            <w:r>
              <w:rPr>
                <w:rFonts w:ascii="Times New Roman" w:hAnsi="Times New Roman" w:cs="Times New Roman"/>
                <w:sz w:val="24"/>
                <w:szCs w:val="24"/>
              </w:rPr>
              <w:t xml:space="preserve">[Tên tổ chức/Cá nhân]</w:t>
            </w: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pPr>
            <w:r>
              <w:rPr>
                <w:rFonts w:ascii="Times New Roman" w:hAnsi="Times New Roman" w:cs="Times New Roman"/>
                <w:sz w:val="24"/>
                <w:szCs w:val="24"/>
              </w:rPr>
              <w:t xml:space="preserve">[Tổng số dư cấp tín dụng]</w:t>
            </w:r>
            <w:r/>
          </w:p>
        </w:tc>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pPr>
            <w:r>
              <w:rPr>
                <w:rFonts w:ascii="Times New Roman" w:hAnsi="Times New Roman" w:cs="Times New Roman"/>
                <w:sz w:val="24"/>
                <w:szCs w:val="24"/>
              </w:rPr>
              <w:t xml:space="preserve">[Dư nợ ngắn hạn]</w:t>
            </w: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pPr>
            <w:r>
              <w:rPr>
                <w:rFonts w:ascii="Times New Roman" w:hAnsi="Times New Roman" w:cs="Times New Roman"/>
                <w:sz w:val="24"/>
                <w:szCs w:val="24"/>
              </w:rPr>
              <w:t xml:space="preserve">[Dư nợ trung dài hạn]</w:t>
            </w: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pPr>
            <w:r>
              <w:rPr>
                <w:rFonts w:ascii="Times New Roman" w:hAnsi="Times New Roman" w:cs="Times New Roman"/>
                <w:sz w:val="24"/>
                <w:szCs w:val="24"/>
              </w:rPr>
              <w:t xml:space="preserve">[Xếp hạng tín dụng]</w:t>
            </w:r>
            <w:r/>
          </w:p>
        </w:tc>
      </w:tr>
    </w:tbl>
    <w:p>
      <w:pPr>
        <w:pBdr/>
        <w:tabs>
          <w:tab w:val="left" w:leader="none" w:pos="567"/>
        </w:tabs>
        <w:spacing/>
        <w:ind w:firstLine="567"/>
        <w:contextualSpacing w:val="true"/>
        <w:jc w:val="both"/>
        <w:rPr>
          <w:b/>
          <w:sz w:val="26"/>
          <w:szCs w:val="28"/>
        </w:rPr>
      </w:pPr>
      <w:r>
        <w:tab/>
      </w:r>
      <w:r>
        <w:rPr>
          <w:rFonts w:ascii="Times New Roman" w:hAnsi="Times New Roman" w:cs="Times New Roman"/>
          <w:b/>
          <w:bCs/>
          <w:sz w:val="26"/>
          <w:szCs w:val="26"/>
        </w:rPr>
        <w:t xml:space="preserve">2. Xếp hạng khách hàng trên hệ thống xếp hạng tín dụng  nội bộ </w:t>
      </w:r>
      <w:r>
        <w:rPr>
          <w:b/>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b/>
                <w:sz w:val="26"/>
                <w:szCs w:val="28"/>
              </w:rPr>
            </w:pPr>
            <w:r>
              <w:rPr>
                <w:rFonts w:ascii="Times New Roman" w:hAnsi="Times New Roman" w:cs="Times New Roman"/>
                <w:b/>
                <w:bCs/>
                <w:sz w:val="26"/>
                <w:szCs w:val="26"/>
              </w:rPr>
              <w:t xml:space="preserve">Thời điểm đánh giá</w:t>
            </w:r>
            <w:r>
              <w:rPr>
                <w:b/>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b/>
                <w:sz w:val="26"/>
                <w:szCs w:val="28"/>
              </w:rPr>
            </w:pPr>
            <w:r>
              <w:rPr>
                <w:rFonts w:ascii="Times New Roman" w:hAnsi="Times New Roman" w:cs="Times New Roman"/>
                <w:b/>
                <w:bCs/>
                <w:sz w:val="26"/>
                <w:szCs w:val="26"/>
              </w:rPr>
              <w:t xml:space="preserve">Xếp hạng</w:t>
            </w:r>
            <w:r>
              <w:rPr>
                <w:b/>
                <w:sz w:val="26"/>
                <w:szCs w:val="28"/>
              </w:rPr>
            </w:r>
          </w:p>
        </w:tc>
      </w:tr>
      <w:t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sz w:val="26"/>
                <w:szCs w:val="28"/>
              </w:rPr>
            </w:pPr>
            <w:r>
              <w:rPr>
                <w:rFonts w:ascii="Times New Roman" w:hAnsi="Times New Roman" w:cs="Times New Roman"/>
                <w:sz w:val="26"/>
                <w:szCs w:val="26"/>
              </w:rPr>
              <w:t xml:space="preserve">[Kỳ chấm điểm]</w:t>
            </w:r>
            <w:r>
              <w:rPr>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sz w:val="26"/>
                <w:szCs w:val="28"/>
              </w:rPr>
            </w:pPr>
            <w:r>
              <w:rPr>
                <w:rFonts w:ascii="Times New Roman" w:hAnsi="Times New Roman" w:cs="Times New Roman"/>
                <w:sz w:val="26"/>
                <w:szCs w:val="26"/>
              </w:rPr>
              <w:t xml:space="preserve">[Xếp hạng KH theo Agribank]</w:t>
            </w:r>
            <w:r>
              <w:rPr>
                <w:sz w:val="26"/>
                <w:szCs w:val="28"/>
              </w:rPr>
            </w:r>
          </w:p>
        </w:tc>
      </w:tr>
    </w:tbl>
    <w:p>
      <w:pPr>
        <w:pBdr/>
        <w:spacing/>
        <w:ind w:firstLine="567"/>
        <w:jc w:val="both"/>
        <w:rPr>
          <w:rFonts w:eastAsia="Calibri"/>
          <w:b/>
          <w:sz w:val="26"/>
          <w:szCs w:val="28"/>
        </w:rPr>
      </w:pPr>
      <w:r>
        <w:rPr>
          <w:b/>
          <w:bCs/>
          <w:sz w:val="26"/>
          <w:szCs w:val="26"/>
        </w:rPr>
        <w:t xml:space="preserve">VI. Phương án sử dụng vốn </w:t>
      </w:r>
      <w:r>
        <w:rPr>
          <w:rFonts w:eastAsia="Calibri"/>
          <w:b/>
          <w:sz w:val="26"/>
          <w:szCs w:val="28"/>
        </w:rPr>
      </w:r>
    </w:p>
    <w:p>
      <w:pPr>
        <w:numPr>
          <w:ilvl w:val="4"/>
          <w:numId w:val="0"/>
        </w:numPr>
        <w:pBdr/>
        <w:spacing/>
        <w:ind w:firstLine="567"/>
        <w:jc w:val="both"/>
        <w:rPr>
          <w:rFonts w:eastAsia="Calibri"/>
          <w:b/>
          <w:sz w:val="26"/>
          <w:szCs w:val="28"/>
        </w:rPr>
      </w:pPr>
      <w:r>
        <w:rPr>
          <w:b/>
          <w:bCs/>
          <w:sz w:val="26"/>
          <w:szCs w:val="26"/>
        </w:rPr>
        <w:t xml:space="preserve">1. Hồ sơ khách hàng đề nghị vay vốn </w:t>
      </w:r>
      <w:r>
        <w:rPr>
          <w:rFonts w:eastAsia="Calibri"/>
          <w:b/>
          <w:sz w:val="26"/>
          <w:szCs w:val="28"/>
        </w:rPr>
      </w:r>
    </w:p>
    <w:p>
      <w:pPr>
        <w:numPr>
          <w:ilvl w:val="4"/>
          <w:numId w:val="0"/>
        </w:numPr>
        <w:pBdr/>
        <w:spacing/>
        <w:ind w:firstLine="567"/>
        <w:jc w:val="both"/>
        <w:rPr>
          <w:rFonts w:eastAsia="Calibri"/>
          <w:sz w:val="26"/>
          <w:szCs w:val="28"/>
        </w:rPr>
      </w:pPr>
      <w:r>
        <w:rPr>
          <w:sz w:val="26"/>
          <w:szCs w:val="26"/>
        </w:rPr>
        <w:t xml:space="preserve">- Phương án sử dụng vốn năm [Năm]</w:t>
      </w:r>
      <w:r>
        <w:rPr>
          <w:rFonts w:eastAsia="Calibri"/>
          <w:sz w:val="26"/>
          <w:szCs w:val="28"/>
        </w:rPr>
      </w:r>
    </w:p>
    <w:p>
      <w:pPr>
        <w:pBdr/>
        <w:spacing/>
        <w:ind w:firstLine="567"/>
        <w:jc w:val="both"/>
        <w:rPr>
          <w:bCs/>
          <w:sz w:val="26"/>
          <w:szCs w:val="28"/>
        </w:rPr>
      </w:pPr>
      <w:r>
        <w:rPr>
          <w:rFonts w:ascii="Times New Roman" w:hAnsi="Times New Roman" w:cs="Times New Roman"/>
          <w:sz w:val="26"/>
          <w:szCs w:val="26"/>
        </w:rPr>
        <w:t xml:space="preserve">- Nghị quyết của HĐQT/HĐTV về việc thông qua PASXKD, việc vay vốn và thực hiện biện pháp bảo đảm tiền vay tại ngân hàng;</w:t>
      </w:r>
      <w:r>
        <w:rPr>
          <w:bCs/>
          <w:sz w:val="26"/>
          <w:szCs w:val="28"/>
        </w:rPr>
      </w:r>
    </w:p>
    <w:p>
      <w:pPr>
        <w:pBdr/>
        <w:spacing/>
        <w:ind w:firstLine="567"/>
        <w:jc w:val="both"/>
        <w:rPr>
          <w:sz w:val="26"/>
          <w:szCs w:val="28"/>
        </w:rPr>
      </w:pPr>
      <w:r>
        <w:rPr>
          <w:rFonts w:ascii="Times New Roman" w:hAnsi="Times New Roman" w:cs="Times New Roman"/>
          <w:sz w:val="26"/>
          <w:szCs w:val="26"/>
        </w:rPr>
        <w:t xml:space="preserve">- Các tài liệu liên quan đến phương án sử dụng vốn của khách hàng: Kế hoạch sản xuất kinh doanh (nếu có); Kế hoạch tài chính (nếu có); Hợp đồng kinh tế đầu vào, đầu ra...</w:t>
      </w:r>
      <w:r>
        <w:rPr>
          <w:sz w:val="26"/>
          <w:szCs w:val="28"/>
        </w:rPr>
      </w:r>
    </w:p>
    <w:p>
      <w:pPr>
        <w:pBdr/>
        <w:spacing/>
        <w:ind w:firstLine="567"/>
        <w:jc w:val="both"/>
        <w:rPr>
          <w:b/>
          <w:sz w:val="26"/>
          <w:szCs w:val="28"/>
        </w:rPr>
      </w:pPr>
      <w:r>
        <w:rPr>
          <w:rFonts w:ascii="Times New Roman" w:hAnsi="Times New Roman" w:cs="Times New Roman"/>
          <w:b/>
          <w:bCs/>
          <w:sz w:val="26"/>
          <w:szCs w:val="26"/>
        </w:rPr>
        <w:t xml:space="preserve">2. Nhận xét: Hồ sơ do khách hàng cung cấp đầy đủ, hợp lệ, hợp pháp</w:t>
      </w:r>
      <w:r>
        <w:rPr>
          <w:b/>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bảo đảm tiền vay</w:t>
      </w:r>
      <w:r>
        <w:rPr>
          <w:b/>
          <w:bCs/>
          <w:sz w:val="26"/>
          <w:szCs w:val="28"/>
        </w:rPr>
      </w:r>
    </w:p>
    <w:p>
      <w:pPr>
        <w:pBdr/>
        <w:spacing/>
        <w:ind w:firstLine="567"/>
        <w:jc w:val="both"/>
        <w:rPr>
          <w:rFonts w:eastAsia="Calibri"/>
          <w:bCs/>
          <w:sz w:val="26"/>
          <w:szCs w:val="26"/>
          <w:highlight w:val="yellow"/>
        </w:rPr>
      </w:pPr>
      <w:r>
        <w:rPr>
          <w:sz w:val="26"/>
          <w:szCs w:val="26"/>
          <w:highlight w:val="yellow"/>
        </w:rPr>
        <w:t xml:space="preserve">* Trường hợp cho vay một phần không có tài sản bảo đảm thì trình bày như sau :</w:t>
      </w:r>
      <w:r>
        <w:rPr>
          <w:rFonts w:eastAsia="Calibri"/>
          <w:bCs/>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[Tên khách hàng]</w:t>
      </w:r>
      <w:r>
        <w:rPr>
          <w:rFonts w:ascii="Times New Roman" w:hAnsi="Times New Roman" w:cs="Times New Roman"/>
          <w:sz w:val="26"/>
          <w:szCs w:val="26"/>
        </w:rPr>
        <w:t xml:space="preserve">:</w:t>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[Kỳ chấm điểm] khách hàng xếp hạng [Xếp hạng KH theo Agribank], phân loại nợ: [Nhóm nợ]</w:t>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[Tên khách hàng]</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[Tỷ lệ % bảo đảm]%</w:t>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p>
    <w:p>
      <w:pPr>
        <w:pBdr/>
        <w:shd w:val="clear" w:color="auto" w:fill="ffffff"/>
        <w:spacing/>
        <w:ind w:firstLine="567"/>
        <w:jc w:val="both"/>
        <w:rPr>
          <w:rFonts w:eastAsia="Calibri"/>
          <w:b/>
          <w:sz w:val="26"/>
          <w:szCs w:val="28"/>
        </w:rPr>
      </w:pPr>
      <w:r>
        <w:rPr>
          <w:b/>
          <w:bCs/>
          <w:sz w:val="26"/>
          <w:szCs w:val="26"/>
        </w:rPr>
        <w:t xml:space="preserve">Tài sản bảo đảm tiền vay: (có báo cáo thẩm định tài sản kèm theo)</w:t>
      </w:r>
      <w:r>
        <w:rPr>
          <w:rFonts w:eastAsia="Calibri"/>
          <w:b/>
          <w:sz w:val="26"/>
          <w:szCs w:val="28"/>
        </w:rPr>
      </w:r>
    </w:p>
    <w:p>
      <w:pPr>
        <w:pBdr/>
        <w:spacing/>
        <w:ind/>
        <w:jc w:val="right"/>
        <w:rPr>
          <w:rFonts w:eastAsia="Calibri"/>
          <w:bCs/>
          <w:i/>
          <w:sz w:val="26"/>
          <w:szCs w:val="26"/>
        </w:rPr>
      </w:pPr>
      <w:r>
        <w:rPr>
          <w:i/>
          <w:iCs/>
          <w:sz w:val="26"/>
          <w:szCs w:val="26"/>
        </w:rPr>
        <w:t xml:space="preserve">Đơn vị: đồng</w:t>
      </w:r>
      <w:r>
        <w:rPr>
          <w:rFonts w:eastAsia="Calibri"/>
          <w:bCs/>
          <w:i/>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b/>
                <w:bCs/>
                <w:sz w:val="26"/>
                <w:szCs w:val="26"/>
              </w:rPr>
              <w:t xml:space="preserve">STT</w:t>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center"/>
              <w:rPr>
                <w:rFonts w:eastAsia="Calibri"/>
                <w:sz w:val="26"/>
              </w:rPr>
            </w:pPr>
            <w:r>
              <w:rPr>
                <w:b/>
                <w:bCs/>
                <w:sz w:val="26"/>
                <w:szCs w:val="26"/>
              </w:rPr>
              <w:t xml:space="preserve">Loại tài sản</w:t>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Giá trị tài sản</w:t>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Phạm vi bảo đảm</w:t>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[STT]</w:t>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[Tên TSBĐ] theo</w:t>
            </w:r>
            <w:r>
              <w:rPr>
                <w:rFonts w:ascii="Calibri" w:hAnsi="Calibri" w:cs="Calibri"/>
                <w:sz w:val="22"/>
                <w:szCs w:val="22"/>
              </w:rPr>
              <w:t xml:space="preserve"> </w:t>
            </w:r>
            <w:r>
              <w:rPr>
                <w:sz w:val="26"/>
                <w:szCs w:val="26"/>
              </w:rPr>
              <w:t xml:space="preserve">Giấy chứng nhận số: [Số seri]</w:t>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[Tổng giá trị TS]</w:t>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[Nghĩa vụ bảo đảm]</w:t>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[ĐS.SĐ.STT]</w:t>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[Tên TSBĐ] nhãn hiệu [Nhãn hiệu]</w:t>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[Giá trị tài sản]</w:t>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[Nghĩa vụ bảo đảm]</w:t>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[STK.ĐS.SĐ.STT]</w:t>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Thẻ tiết kiệm số [STK.Số seri] do [Tổ chức phát hành] phát hành ngày [Ngày phát hành], kỳ hạn [Kỳ hạn] tháng</w:t>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[STK.Số dư]</w:t>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[Nghĩa vụ bảo đảm]</w:t>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textDirection w:val="lrTb"/>
            <w:noWrap w:val="false"/>
          </w:tcPr>
          <w:p>
            <w:pPr>
              <w:pBdr/>
              <w:spacing/>
              <w:ind/>
              <w:jc w:val="center"/>
              <w:rPr>
                <w:rFonts w:eastAsia="Calibri"/>
                <w:b/>
                <w:sz w:val="26"/>
              </w:rPr>
            </w:pP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b/>
                <w:sz w:val="26"/>
              </w:rPr>
            </w:pPr>
            <w:r>
              <w:rPr>
                <w:b/>
                <w:bCs/>
                <w:sz w:val="26"/>
                <w:szCs w:val="26"/>
              </w:rPr>
              <w:t xml:space="preserve">Tổng cộng</w:t>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[Tổng giá trị TSBĐ]</w:t>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[Tổng nghĩa vụ bảo đảm]</w:t>
            </w:r>
            <w:r>
              <w:rPr>
                <w:rFonts w:eastAsia="Calibri"/>
                <w:b/>
                <w:sz w:val="26"/>
              </w:rPr>
            </w:r>
          </w:p>
        </w:tc>
      </w:tr>
    </w:tbl>
    <w:p>
      <w:pPr>
        <w:pBdr/>
        <w:spacing/>
        <w:ind w:firstLine="567"/>
        <w:jc w:val="both"/>
        <w:rPr>
          <w:rFonts w:eastAsia="Calibri"/>
          <w:bCs/>
          <w:sz w:val="26"/>
          <w:szCs w:val="28"/>
        </w:rPr>
      </w:pPr>
      <w:r>
        <w:rPr>
          <w:sz w:val="26"/>
          <w:szCs w:val="26"/>
        </w:rPr>
        <w:t xml:space="preserve">Kết luận: Tài sản bảo đảm không thuộc Danh mục tài sản không được nhận làm tài sản bảo đảm; đủ điều kiện nhận làm TSBĐ theo quy định.</w:t>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VIII. Đánh giá và đề xuất của Người quan hệ khách hàng</w:t>
      </w:r>
      <w:r>
        <w:rPr>
          <w:b/>
          <w:bCs/>
          <w:sz w:val="26"/>
          <w:szCs w:val="28"/>
        </w:rPr>
      </w:r>
    </w:p>
    <w:p>
      <w:pPr>
        <w:pBdr/>
        <w:tabs>
          <w:tab w:val="left" w:leader="none" w:pos="0"/>
          <w:tab w:val="num" w:leader="none" w:pos="426"/>
          <w:tab w:val="left" w:leader="none" w:pos="567"/>
        </w:tabs>
        <w:spacing/>
        <w:ind w:firstLine="567"/>
        <w:jc w:val="both"/>
        <w:rPr>
          <w:b/>
          <w:bCs/>
          <w:sz w:val="26"/>
          <w:szCs w:val="28"/>
        </w:rPr>
      </w:pPr>
      <w:r>
        <w:rPr>
          <w:rFonts w:ascii="Times New Roman" w:hAnsi="Times New Roman" w:cs="Times New Roman"/>
          <w:b/>
          <w:bCs/>
          <w:sz w:val="26"/>
          <w:szCs w:val="26"/>
        </w:rPr>
        <w:t xml:space="preserve">1. Đánh giá</w:t>
      </w:r>
      <w:r>
        <w:rPr>
          <w:b/>
          <w:bCs/>
          <w:sz w:val="26"/>
          <w:szCs w:val="28"/>
        </w:rPr>
      </w:r>
    </w:p>
    <w:p>
      <w:pPr>
        <w:pBdr/>
        <w:tabs>
          <w:tab w:val="left" w:leader="none" w:pos="851"/>
        </w:tabs>
        <w:spacing/>
        <w:ind w:firstLine="567"/>
        <w:jc w:val="both"/>
        <w:rPr>
          <w:rFonts w:eastAsia="Calibri"/>
          <w:sz w:val="26"/>
          <w:szCs w:val="26"/>
        </w:rPr>
      </w:pPr>
      <w:r>
        <w:rPr>
          <w:sz w:val="26"/>
          <w:szCs w:val="26"/>
        </w:rPr>
        <w:t xml:space="preserve">a) Hồ sơ vay vốn của Khách hàng: đầy đủ, hợp lệ, hợp pháp</w:t>
      </w:r>
      <w:r>
        <w:rPr>
          <w:rFonts w:eastAsia="Calibri"/>
          <w:sz w:val="26"/>
          <w:szCs w:val="26"/>
        </w:rPr>
      </w:r>
    </w:p>
    <w:p>
      <w:pPr>
        <w:pBdr/>
        <w:spacing/>
        <w:ind w:firstLine="567"/>
        <w:jc w:val="both"/>
        <w:rPr>
          <w:sz w:val="26"/>
          <w:szCs w:val="28"/>
        </w:rPr>
      </w:pPr>
      <w:r>
        <w:rPr>
          <w:rFonts w:ascii="Times New Roman" w:hAnsi="Times New Roman" w:cs="Times New Roman"/>
          <w:sz w:val="26"/>
          <w:szCs w:val="26"/>
        </w:rPr>
        <w:t xml:space="preserve">b) Năng lực pháp luật dân sự của khách hàng, năng lực hành vi dân sự của người đại diện theo pháp luật tại thời điểm vay vốn: đáp ứng;</w:t>
      </w:r>
      <w:r>
        <w:rPr>
          <w:sz w:val="26"/>
          <w:szCs w:val="28"/>
        </w:rPr>
      </w:r>
    </w:p>
    <w:p>
      <w:pPr>
        <w:pBdr/>
        <w:spacing/>
        <w:ind w:firstLine="567"/>
        <w:jc w:val="both"/>
        <w:rPr>
          <w:sz w:val="26"/>
          <w:szCs w:val="28"/>
        </w:rPr>
      </w:pPr>
      <w:r>
        <w:rPr>
          <w:rFonts w:ascii="Times New Roman" w:hAnsi="Times New Roman" w:cs="Times New Roman"/>
          <w:sz w:val="26"/>
          <w:szCs w:val="26"/>
        </w:rPr>
        <w:t xml:space="preserve">c) Đánh giá tính hợp pháp của mục đích sử dụng vốn: hợp pháp;</w:t>
      </w:r>
      <w:r>
        <w:rPr>
          <w:sz w:val="26"/>
          <w:szCs w:val="28"/>
        </w:rPr>
      </w:r>
    </w:p>
    <w:p>
      <w:pPr>
        <w:pBdr/>
        <w:spacing/>
        <w:ind w:firstLine="567"/>
        <w:jc w:val="both"/>
        <w:rPr>
          <w:sz w:val="26"/>
          <w:szCs w:val="28"/>
        </w:rPr>
      </w:pPr>
      <w:r>
        <w:rPr>
          <w:rFonts w:ascii="Times New Roman" w:hAnsi="Times New Roman" w:cs="Times New Roman"/>
          <w:sz w:val="26"/>
          <w:szCs w:val="26"/>
        </w:rPr>
        <w:t xml:space="preserve">d) Bảo đảm tiền vay:</w:t>
      </w:r>
      <w:r>
        <w:rPr>
          <w:sz w:val="26"/>
          <w:szCs w:val="28"/>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[Tổng giá trị TSBĐ]</w:t>
      </w:r>
      <w:r>
        <w:rPr>
          <w:sz w:val="26"/>
          <w:szCs w:val="26"/>
        </w:rPr>
        <w:t xml:space="preserve"> đồng</w:t>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Phạm vi bảo đảm: </w:t>
      </w:r>
      <w:r>
        <w:rPr>
          <w:b/>
          <w:bCs/>
          <w:sz w:val="26"/>
          <w:szCs w:val="26"/>
        </w:rPr>
        <w:t xml:space="preserve">[Tổng nghĩa vụ bảo đảm]</w:t>
      </w:r>
      <w:r>
        <w:rPr>
          <w:sz w:val="26"/>
          <w:szCs w:val="26"/>
        </w:rPr>
        <w:t xml:space="preserve"> đồng</w:t>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2. Đề xuất</w:t>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Sau khi đánh giá khoản vay, Người quan hệ khách hàng đề xuất:</w:t>
      </w:r>
      <w:r>
        <w:rPr>
          <w:bCs/>
          <w:sz w:val="26"/>
          <w:szCs w:val="28"/>
        </w:rPr>
      </w:r>
    </w:p>
    <w:p>
      <w:pPr>
        <w:pBdr/>
        <w:spacing/>
        <w:ind w:firstLine="567"/>
        <w:jc w:val="both"/>
        <w:rPr>
          <w:bCs/>
          <w:sz w:val="26"/>
          <w:szCs w:val="28"/>
        </w:rPr>
      </w:pPr>
      <w:r>
        <w:rPr>
          <w:rFonts w:ascii="Times New Roman" w:hAnsi="Times New Roman" w:cs="Times New Roman"/>
          <w:sz w:val="26"/>
          <w:szCs w:val="26"/>
        </w:rPr>
        <w:t xml:space="preserve">- Người thẩm định/Bộ phận thẩm định/Phòng Thẩm định thực hiện thẩm định theo quy định, </w:t>
      </w:r>
      <w:r>
        <w:rPr>
          <w:bCs/>
          <w:sz w:val="26"/>
          <w:szCs w:val="28"/>
        </w:rPr>
      </w:r>
    </w:p>
    <w:p>
      <w:pPr>
        <w:pBdr/>
        <w:tabs>
          <w:tab w:val="left" w:leader="dot" w:pos="8931"/>
        </w:tabs>
        <w:spacing/>
        <w:ind w:firstLine="567"/>
        <w:jc w:val="both"/>
        <w:rPr>
          <w:bCs/>
          <w:sz w:val="26"/>
          <w:szCs w:val="28"/>
        </w:rPr>
      </w:pPr>
      <w:r>
        <w:rPr>
          <w:rFonts w:ascii="Times New Roman" w:hAnsi="Times New Roman" w:cs="Times New Roman"/>
          <w:sz w:val="26"/>
          <w:szCs w:val="26"/>
        </w:rPr>
        <w:t xml:space="preserve">- Cho vay có tài sản bảo đảm</w:t>
      </w:r>
      <w:r>
        <w:rPr>
          <w:bCs/>
          <w:sz w:val="26"/>
          <w:szCs w:val="28"/>
        </w:rPr>
      </w:r>
    </w:p>
    <w:tbl>
      <w:tblPr>
        <w:tblStyle w:val="896"/>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rPr>
                <w:szCs w:val="26"/>
              </w:rPr>
            </w:pP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[Ngày] tháng [Tháng] năm [Năm]</w:t>
            </w:r>
            <w:r>
              <w:rPr>
                <w:i/>
                <w:sz w:val="26"/>
                <w:szCs w:val="26"/>
              </w:rPr>
            </w:r>
          </w:p>
          <w:p>
            <w:pPr>
              <w:pBdr/>
              <w:spacing/>
              <w:ind/>
              <w:jc w:val="center"/>
              <w:rPr>
                <w:b/>
                <w:szCs w:val="26"/>
              </w:rPr>
            </w:pPr>
            <w:r>
              <w:rPr>
                <w:rFonts w:ascii="Times New Roman" w:hAnsi="Times New Roman" w:cs="Times New Roman"/>
                <w:b/>
                <w:bCs/>
                <w:sz w:val="26"/>
                <w:szCs w:val="26"/>
              </w:rPr>
              <w:t xml:space="preserve">NGƯỜI QUAN HỆ KHÁCH HÀNG</w:t>
            </w:r>
            <w:r>
              <w:rPr>
                <w:b/>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p>
          <w:p>
            <w:pPr>
              <w:pBdr/>
              <w:spacing/>
              <w:ind/>
              <w:jc w:val="center"/>
              <w:rPr>
                <w:szCs w:val="26"/>
              </w:rPr>
            </w:pPr>
            <w:r>
              <w:rPr>
                <w:szCs w:val="26"/>
              </w:rPr>
            </w:r>
            <w:r>
              <w:rPr>
                <w:szCs w:val="26"/>
              </w:rPr>
            </w:r>
          </w:p>
          <w:p>
            <w:pPr>
              <w:pBdr/>
              <w:spacing/>
              <w:ind/>
              <w:jc w:val="center"/>
              <w:rPr>
                <w:szCs w:val="26"/>
              </w:rPr>
            </w:pPr>
            <w:r>
              <w:rPr>
                <w:szCs w:val="26"/>
              </w:rPr>
            </w:r>
            <w:r>
              <w:rPr>
                <w:szCs w:val="26"/>
              </w:rPr>
            </w:r>
          </w:p>
          <w:p>
            <w:pPr>
              <w:pBdr/>
              <w:spacing/>
              <w:ind/>
              <w:jc w:val="center"/>
              <w:rPr>
                <w:szCs w:val="26"/>
              </w:rPr>
            </w:pPr>
            <w:r>
              <w:rPr>
                <w:szCs w:val="26"/>
              </w:rPr>
            </w:r>
            <w:r>
              <w:rPr>
                <w:szCs w:val="26"/>
              </w:rPr>
            </w:r>
          </w:p>
          <w:p>
            <w:pPr>
              <w:pBdr/>
              <w:spacing/>
              <w:ind/>
              <w:jc w:val="center"/>
              <w:rPr>
                <w:szCs w:val="26"/>
              </w:rPr>
            </w:pP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[Tên người dùng]</w:t>
            </w:r>
            <w:r>
              <w:rPr>
                <w:b/>
                <w:sz w:val="26"/>
                <w:szCs w:val="26"/>
              </w:rPr>
            </w:r>
          </w:p>
        </w:tc>
      </w:tr>
    </w:tbl>
    <w:p>
      <w:pPr>
        <w:pBdr/>
        <w:spacing w:before="120"/>
        <w:ind w:firstLine="567"/>
        <w:jc w:val="both"/>
        <w:rPr>
          <w:rFonts w:eastAsia="Calibri"/>
          <w:b/>
          <w:color w:val="000000"/>
          <w:sz w:val="26"/>
          <w:szCs w:val="26"/>
        </w:rPr>
      </w:pP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Ghi chú: </w:t>
      </w:r>
      <w:r>
        <w:rPr>
          <w:bCs/>
          <w:i/>
          <w:iCs/>
          <w:sz w:val="26"/>
          <w:highlight w:val="yellow"/>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 Trường hợp lập chung báo cáo đề xuất cho vay và báo cáo thẩm định, Người quan hệ khách hàng có thể là cán bộ/cả cán bộ và người kiểm soát cùng ký với vai trò là Người quan hệ khách hàng.</w:t>
      </w:r>
      <w:r>
        <w:rPr>
          <w:bCs/>
          <w:i/>
          <w:iCs/>
          <w:sz w:val="26"/>
          <w:highlight w:val="yellow"/>
        </w:rPr>
      </w:r>
    </w:p>
    <w:p>
      <w:pPr>
        <w:pBdr/>
        <w:tabs>
          <w:tab w:val="center" w:leader="none" w:pos="7200"/>
        </w:tabs>
        <w:spacing/>
        <w:ind w:firstLine="567"/>
        <w:jc w:val="both"/>
        <w:rPr>
          <w:bCs/>
          <w:i/>
          <w:iCs/>
          <w:sz w:val="26"/>
        </w:rPr>
      </w:pPr>
      <w:r>
        <w:rPr>
          <w:rFonts w:ascii="Times New Roman" w:hAnsi="Times New Roman" w:cs="Times New Roman"/>
          <w:i/>
          <w:iCs/>
          <w:sz w:val="26"/>
          <w:szCs w:val="26"/>
          <w:highlight w:val="yellow"/>
        </w:rPr>
        <w:t xml:space="preserve">- Trường hợp lập riêng báo cáo đề xuất cho vay và báo cáo thẩm định, Người quan hệ khách hàng là cán bộ và người kiểm soát cùng ký với vai trò là Người quan hệ khách hàng và bỏ phần B, C, D</w:t>
      </w:r>
      <w:r>
        <w:rPr>
          <w:bCs/>
          <w:i/>
          <w:iCs/>
          <w:sz w:val="26"/>
        </w:rPr>
      </w:r>
    </w:p>
    <w:p>
      <w:pPr>
        <w:pBdr/>
        <w:tabs>
          <w:tab w:val="center" w:leader="none" w:pos="7200"/>
        </w:tabs>
        <w:spacing w:line="288" w:lineRule="auto"/>
        <w:ind/>
        <w:jc w:val="both"/>
        <w:rPr>
          <w:bCs/>
          <w:sz w:val="28"/>
          <w:szCs w:val="28"/>
        </w:rPr>
      </w:pPr>
      <w:r>
        <w:rPr>
          <w:bCs/>
          <w:sz w:val="28"/>
          <w:szCs w:val="28"/>
        </w:rPr>
      </w:r>
      <w:r>
        <w:rPr>
          <w:bCs/>
          <w:sz w:val="28"/>
          <w:szCs w:val="28"/>
        </w:rPr>
      </w:r>
    </w:p>
    <w:p>
      <w:pPr>
        <w:pBdr/>
        <w:spacing/>
        <w:ind/>
        <w:rPr>
          <w:b/>
          <w:sz w:val="26"/>
          <w:szCs w:val="28"/>
        </w:rPr>
      </w:pP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B: THẨM ĐỊNH VÀ ĐỀ XUẤT CHO VAY CỦA NGƯỜI THẨM ĐỊNH/BỘ PHẬN THẨM ĐỊNH/PHÒNG THẨM ĐỊNH</w:t>
      </w:r>
      <w:r>
        <w:rPr>
          <w:b/>
          <w:sz w:val="26"/>
          <w:szCs w:val="28"/>
        </w:rPr>
      </w:r>
    </w:p>
    <w:p>
      <w:pPr>
        <w:pBdr/>
        <w:spacing/>
        <w:ind w:firstLine="567"/>
        <w:jc w:val="both"/>
        <w:rPr>
          <w:sz w:val="26"/>
          <w:szCs w:val="28"/>
        </w:rPr>
      </w:pPr>
      <w:r>
        <w:rPr>
          <w:rFonts w:ascii="Times New Roman" w:hAnsi="Times New Roman" w:cs="Times New Roman"/>
          <w:sz w:val="26"/>
          <w:szCs w:val="26"/>
        </w:rPr>
        <w:t xml:space="preserve">Trên cơ sở thông tin, hồ sơ vay vốn và đề xuất của Người quan hệ khách hàng, Người thẩm định khoản vay thẩm định các điều kiện vay vốn, các quy định có liên quan và đề xuất cho vay với các nội dung như sau: </w:t>
      </w:r>
      <w:r>
        <w:rPr>
          <w:sz w:val="26"/>
          <w:szCs w:val="28"/>
        </w:rPr>
      </w:r>
    </w:p>
    <w:p>
      <w:pPr>
        <w:pBdr/>
        <w:spacing/>
        <w:ind w:firstLine="567"/>
        <w:jc w:val="both"/>
        <w:rPr>
          <w:b/>
          <w:bCs/>
          <w:sz w:val="26"/>
          <w:szCs w:val="28"/>
        </w:rPr>
      </w:pPr>
      <w:r>
        <w:rPr>
          <w:rFonts w:ascii="Times New Roman" w:hAnsi="Times New Roman" w:cs="Times New Roman"/>
          <w:b/>
          <w:bCs/>
          <w:sz w:val="26"/>
          <w:szCs w:val="26"/>
        </w:rPr>
        <w:t xml:space="preserve">I. Thẩm định tình hình tài chính của khách hàng</w:t>
      </w:r>
      <w:r>
        <w:rPr>
          <w:b/>
          <w:bCs/>
          <w:sz w:val="26"/>
          <w:szCs w:val="28"/>
        </w:rPr>
      </w:r>
    </w:p>
    <w:p>
      <w:pPr>
        <w:pBdr/>
        <w:spacing/>
        <w:ind w:firstLine="567"/>
        <w:jc w:val="both"/>
        <w:rPr>
          <w:rFonts w:eastAsia="Arial"/>
          <w:b/>
          <w:bCs/>
          <w:sz w:val="26"/>
          <w:szCs w:val="26"/>
        </w:rPr>
      </w:pPr>
      <w:r>
        <w:rPr>
          <w:b/>
          <w:bCs/>
          <w:sz w:val="26"/>
          <w:szCs w:val="26"/>
        </w:rPr>
        <w:t xml:space="preserve">1. Căn cứ đánh giá, phân tích</w:t>
      </w:r>
      <w:r>
        <w:rPr>
          <w:rFonts w:eastAsia="Arial"/>
          <w:b/>
          <w:bCs/>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năm [Năm liền kề -1], [Năm liền kề].</w:t>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2 năm liền kề trừ doanh nghiệp mới được thành lập). </w:t>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phải được kiểm toán và/ báo cáo tài ch</w:t>
      </w:r>
      <w:r>
        <w:rPr>
          <w:rFonts w:ascii="Times New Roman" w:hAnsi="Times New Roman" w:cs="Times New Roman"/>
          <w:sz w:val="26"/>
          <w:szCs w:val="26"/>
          <w:highlight w:val="yellow"/>
        </w:rPr>
        <w:t xml:space="preserve">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r>
        <w:rPr>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Báo cáo một số tình hình tài chính quý gần nhất (đến [Ngày báo cáo])</w:t>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(Trường hợp DN không lập báo cáo tài chính quý thì lập báo cáo một số tình hình tài chính quý gần nhất);  </w:t>
      </w:r>
      <w:r>
        <w:rPr>
          <w:sz w:val="26"/>
          <w:szCs w:val="26"/>
          <w:highlight w:val="yellow"/>
        </w:rPr>
      </w:r>
    </w:p>
    <w:p>
      <w:pPr>
        <w:pBdr/>
        <w:spacing/>
        <w:ind w:firstLine="567"/>
        <w:jc w:val="both"/>
        <w:rPr>
          <w:bCs/>
          <w:sz w:val="26"/>
          <w:szCs w:val="28"/>
        </w:rPr>
      </w:pPr>
      <w:r>
        <w:rPr>
          <w:rFonts w:ascii="Times New Roman" w:hAnsi="Times New Roman" w:cs="Times New Roman"/>
          <w:sz w:val="26"/>
          <w:szCs w:val="26"/>
        </w:rPr>
        <w:t xml:space="preserve">- Sổ phụ chi tiết các khoản nợ phải thu, phải trả;</w:t>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hàng tồn kho;</w:t>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các khoản đầu tư tài chính dài hạn, ngắn hạn.</w:t>
      </w:r>
      <w:r>
        <w:rPr>
          <w:bCs/>
          <w:sz w:val="26"/>
          <w:szCs w:val="28"/>
        </w:rPr>
      </w:r>
    </w:p>
    <w:p>
      <w:pPr>
        <w:pBdr/>
        <w:spacing/>
        <w:ind w:firstLine="567"/>
        <w:jc w:val="both"/>
        <w:rPr>
          <w:bCs/>
          <w:sz w:val="26"/>
          <w:szCs w:val="28"/>
        </w:rPr>
      </w:pPr>
      <w:r>
        <w:rPr>
          <w:rFonts w:ascii="Times New Roman" w:hAnsi="Times New Roman" w:cs="Times New Roman"/>
          <w:sz w:val="26"/>
          <w:szCs w:val="26"/>
        </w:rPr>
        <w:t xml:space="preserve">- Bảng kê nợ vay tại các TCTD;</w:t>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tài khoản tiền gửi các ngân hàng; </w:t>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Các tài liệu khác (nếu có). </w:t>
      </w:r>
      <w:r>
        <w:rPr>
          <w:bCs/>
          <w:sz w:val="26"/>
          <w:szCs w:val="28"/>
        </w:rPr>
      </w:r>
    </w:p>
    <w:p>
      <w:pPr>
        <w:pBdr/>
        <w:spacing/>
        <w:ind w:firstLine="567"/>
        <w:jc w:val="both"/>
        <w:rPr>
          <w:rFonts w:eastAsia="Calibri"/>
          <w:b/>
          <w:sz w:val="26"/>
          <w:szCs w:val="26"/>
        </w:rPr>
      </w:pPr>
      <w:r>
        <w:rPr>
          <w:b/>
          <w:bCs/>
          <w:sz w:val="26"/>
          <w:szCs w:val="26"/>
        </w:rPr>
        <w:t xml:space="preserve">2. Tình hình tài chính của khách hàng</w:t>
      </w:r>
      <w:r>
        <w:rPr>
          <w:rFonts w:eastAsia="Calibri"/>
          <w:b/>
          <w:sz w:val="26"/>
          <w:szCs w:val="26"/>
        </w:rPr>
      </w:r>
    </w:p>
    <w:p>
      <w:pPr>
        <w:pBdr/>
        <w:spacing/>
        <w:ind w:firstLine="567"/>
        <w:jc w:val="both"/>
        <w:rPr>
          <w:rFonts w:eastAsia="Calibri"/>
          <w:sz w:val="26"/>
          <w:szCs w:val="26"/>
        </w:rPr>
      </w:pPr>
      <w:r>
        <w:rPr>
          <w:sz w:val="26"/>
          <w:szCs w:val="26"/>
          <w:highlight w:val="yellow"/>
        </w:rPr>
        <w:t xml:space="preserve">- Những điểm cần lưu ý khi đánh giá: Tùy đặc điểm cụ thể</w:t>
      </w:r>
      <w:r>
        <w:rPr>
          <w:sz w:val="26"/>
          <w:szCs w:val="26"/>
          <w:highlight w:val="yellow"/>
        </w:rPr>
        <w:t xml:space="preserve"> tình hình hoạt động của DN, tính chất bất thường của từng khoản mục trên Báo cáo tài chính của DN, lựa chọn các khoản mục, chỉ tiêu cụ thể trên Báo cáo tài chính để đánh giá làm rõ sự bất hợp lý, tìm ra nguyên nhân và đánh giá, nhận xét về các khoản mục l</w:t>
      </w:r>
      <w:r>
        <w:rPr>
          <w:sz w:val="26"/>
          <w:szCs w:val="26"/>
          <w:highlight w:val="yellow"/>
        </w:rPr>
        <w:t xml:space="preserve">ựa chọn phân tích và tình hình chung của DN. Trường hợp BCTC được kiểm toán nhưng loại trừ nhiều yếu tố trọng yếu: Cần phải thu thập thêm thông tin để có cơ sở đánh giá khả năng tài chính của DN, đồng thời cũng là cơ sở để đánh giá rủi ro khi cấp tín dụng.</w:t>
      </w:r>
      <w:r>
        <w:rPr>
          <w:sz w:val="26"/>
          <w:szCs w:val="26"/>
        </w:rPr>
        <w:t xml:space="preserve"> </w:t>
      </w:r>
      <w:r>
        <w:rPr>
          <w:rFonts w:eastAsia="Calibri"/>
          <w:sz w:val="26"/>
          <w:szCs w:val="26"/>
        </w:rPr>
      </w:r>
    </w:p>
    <w:p>
      <w:pPr>
        <w:pBdr/>
        <w:spacing/>
        <w:ind w:firstLine="567"/>
        <w:jc w:val="both"/>
        <w:rPr>
          <w:rFonts w:eastAsia="Calibri"/>
          <w:sz w:val="26"/>
          <w:szCs w:val="26"/>
        </w:rPr>
      </w:pPr>
      <w:r>
        <w:rPr>
          <w:sz w:val="26"/>
          <w:szCs w:val="26"/>
          <w:highlight w:val="yellow"/>
        </w:rPr>
        <w:t xml:space="preserve">Tùy thuộc vào mô hình hoạt động và việc áp dụng chế độ kế toán của từng pháp nhân, tập trung phân tích những thay đổi lớn, những chỉ tiêu cơ bản có tính chất trọ</w:t>
      </w:r>
      <w:r>
        <w:rPr>
          <w:sz w:val="26"/>
          <w:szCs w:val="26"/>
          <w:highlight w:val="yellow"/>
        </w:rPr>
        <w:t xml:space="preserve">ng yếu trong báo cáo tài chính như: Các khoản phải thu; Hàng tồn kho; Các khoản đầu tư tài chính; Tài sản dài hạn; Trích lập dự phòng rủi ro; Các khoản phải trả người bán; Vay tại các tổ chức tín dụng; Nguồn vốn chủ sở hữu…</w:t>
      </w:r>
      <w:r>
        <w:rPr>
          <w:rFonts w:eastAsia="Calibri"/>
          <w:sz w:val="26"/>
          <w:szCs w:val="26"/>
        </w:rPr>
      </w:r>
    </w:p>
    <w:p>
      <w:pPr>
        <w:pBdr/>
        <w:spacing/>
        <w:ind w:firstLine="567"/>
        <w:jc w:val="both"/>
        <w:rPr>
          <w:rFonts w:eastAsia="Calibri"/>
          <w:sz w:val="26"/>
          <w:szCs w:val="26"/>
        </w:rPr>
      </w:pPr>
      <w:r>
        <w:rPr>
          <w:sz w:val="26"/>
          <w:szCs w:val="26"/>
          <w:highlight w:val="yellow"/>
        </w:rPr>
        <w:t xml:space="preserve">Một số mục đã có sẵn phân tích dưới đây là để tham khảo từ một vài khoản vay có thực trước đây, tùy tình hình thực tế để thêm, bớt cho phù hợp</w:t>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Bảng cân đối tài khoản rút gọn:</w:t>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CHỈ TIÊU</w:t>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 -1]</w:t>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w:t>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[Ngày báo cáo]</w:t>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w:t>
            </w:r>
            <w:r>
              <w:rPr>
                <w:b/>
                <w:bCs/>
              </w:rPr>
            </w:r>
          </w:p>
          <w:p>
            <w:pPr>
              <w:pBdr/>
              <w:spacing/>
              <w:ind/>
              <w:jc w:val="center"/>
              <w:rPr>
                <w:b/>
                <w:bCs/>
              </w:rPr>
            </w:pPr>
            <w:r>
              <w:rPr>
                <w:rFonts w:ascii="Times New Roman" w:hAnsi="Times New Roman" w:cs="Times New Roman"/>
                <w:b/>
                <w:bCs/>
                <w:sz w:val="24"/>
                <w:szCs w:val="24"/>
              </w:rPr>
              <w:t xml:space="preserve">[Năm liền kề] - [Năm liền kề -1]</w:t>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A. Tài sản ngắn hạn</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[CS.Tài sản ngắn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[Tài sản ngắn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[CS.Tài sản ngắn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[CL Tài sản ngắn hạn]</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Tiền và các khoản tương đương tiền</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[CS.Tiền và tương đương tiền:]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[CS.Tiền và tương đương tiền]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Tiền và tương đương tiền]</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Đầu tư tài chính ngắn hạn</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[CS.Đầu tư tài chính ngắn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[Đầu tư tài chính ngắn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Đầu tư tài chính ngắn hạn]</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Các khoản phải thu ngắn hạn</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[CS.Các khoản phải thu ngắn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[Các khoản phải thu ngắn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[CS.Các khoản phải thu ngắn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Các khoản phải thu ngắn hạn]</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khách hàng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[CS.Phải thu ngắn hạn của KH:]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[Phải thu ngắn hạn của KH]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Phải thu ngắn hạn của KH]</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Trả trước cho người bán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[CS.Trả trước cho ng bán ngắn hạn:]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[Trả trước cho ng bán ngắn hạn]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Trả trước cho ng bán ngắn hạn]</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ngắn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[CS.Phải thu ngắn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[Phải thu ngắn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Phải thu ngắn hạn khác]</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Hàng tồn kho</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[CS.Hàng tồn kho:]</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[Hàng tồn kho]</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[CS.Hàng tồn kho::]</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Hàng tồn kho]</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Tài sản ngắn hạn khác</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[CS.Tài sản ngắn hạn khác:]</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[Tài sản ngắn hạn khác]</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Tài sản ngắn hạn khác]</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B. Tài sản dài hạn</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[CS.Tài sản dài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[Tài sản dài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[CS.Tài sản dài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Tài sản dài hạn]</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Các khoản phải thu dài hạn</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[CS.Phải thu dài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[Phải thu dài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Phải thu dài hạn]</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Tài sản cố định</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[CS.Tài sản cố định hữu hình:]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[Tài sản cố định hữu hình]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[CS.Tài sản cố định hữu hình::]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Tài sản cố định hữu hình]</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Bất động sản đầu tư</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Tài sản dở dang dài hạn</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Đầu tư tài chính dài hạn</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[CS.Đầu tư tài chính dài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[Đầu tư tài chính dài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Đầu tư tài chính dài hạn]</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con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liên kết, liên doanh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dài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VI. Tài sản dài hạn khác</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[CS.Tài sản dài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[Tài sản dài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[CS.Tài sản dài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Tài sản dài hạn khác]</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[CS.Tổng tài sản:]</w:t>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[Tổng tài sản]</w:t>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[CS.CL Tổng tài sản]</w:t>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C. Nợ phải trả</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Nợ ngắn hạn</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[CS.Nợ ngắn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[Nợ ngắn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[CS.Nợ ngắn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Nợ ngắn hạn]</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[CL Phải trả người bán ngắn hạn]</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Người mua trả tiền trước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[CS.Người mua trả tiền trước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[CS.Người mua trả tiền trước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[CS.Người mua trả tiền trước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Người mua trả tiền trước ngắn hạn]</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lao động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Vay và nợ thuê tài chính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[CS.Vay và nợ thuê tài chính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[Vay và nợ thuê tài chính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Vay và nợ thuê tài chính ngắn hạn]</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Nợ dài hạn</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[CS.Nợ dài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[Nợ dài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[CS.Nợ dài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Nợ dài hạn]</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D. Vốn chủ sở hữu </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[CS.Vốn chủ sở hữu:]</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[Vốn chủ sở hữu]</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[CS.Vốn chủ sở hữu::]</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Vốn chủ sở hữu]</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Vốn đầu tư của chủ sở hữu</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[CS.Vốn góp của chủ sở hữu:]</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[Vốn góp của chủ sở hữu]</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Vốn góp của chủ sở hữu]</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 Lợi nhuận sau thuế chưa phân phối</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[CS.Lợi nhuận sau thuế chưa phân phối:]</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[Lợi nhuận sau thuế chưa phân phối]</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[CS.Lợi nhuận sau thuế chưa phân phối::]</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Lợi nhuận sau thuế chưa phân phối]</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II. Nguồn kinh phí và quỹ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CỘNG NGUỒN VỐN</w:t>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[CS.Tổng tài sản:]</w:t>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[Tổng tài sản]</w:t>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[CS.CL Tổng tài sản]</w:t>
            </w:r>
            <w:r>
              <w:rPr>
                <w:b/>
                <w:bCs/>
              </w:rPr>
            </w:r>
          </w:p>
        </w:tc>
      </w:tr>
    </w:tbl>
    <w:p>
      <w:pPr>
        <w:pBdr/>
        <w:spacing w:before="120"/>
        <w:ind w:firstLine="567"/>
        <w:jc w:val="both"/>
        <w:rPr>
          <w:b/>
          <w:color w:val="1f497d"/>
          <w:sz w:val="26"/>
          <w:szCs w:val="26"/>
        </w:rPr>
      </w:pPr>
      <w:r>
        <w:rPr>
          <w:rFonts w:ascii="Times New Roman" w:hAnsi="Times New Roman" w:cs="Times New Roman"/>
          <w:b/>
          <w:bCs/>
          <w:color w:val="000000"/>
          <w:sz w:val="26"/>
          <w:szCs w:val="26"/>
        </w:rPr>
        <w:t xml:space="preserve">2.1. Về tài sản</w:t>
      </w:r>
      <w:r>
        <w:rPr>
          <w:rFonts w:ascii="Times New Roman" w:hAnsi="Times New Roman" w:cs="Times New Roman"/>
          <w:b/>
          <w:bCs/>
          <w:color w:val="1f497d"/>
          <w:sz w:val="26"/>
          <w:szCs w:val="26"/>
        </w:rPr>
        <w:t xml:space="preserve"> </w:t>
      </w:r>
      <w:r>
        <w:rPr>
          <w:b/>
          <w:color w:val="1f497d"/>
          <w:sz w:val="26"/>
          <w:szCs w:val="26"/>
        </w:rPr>
      </w:r>
    </w:p>
    <w:p>
      <w:pPr>
        <w:pBdr/>
        <w:spacing/>
        <w:ind w:firstLine="567"/>
        <w:jc w:val="both"/>
        <w:rPr>
          <w:b/>
          <w:sz w:val="26"/>
          <w:szCs w:val="26"/>
        </w:rPr>
      </w:pPr>
      <w:r>
        <w:rPr>
          <w:rFonts w:ascii="Times New Roman" w:hAnsi="Times New Roman" w:cs="Times New Roman"/>
          <w:b/>
          <w:bCs/>
          <w:sz w:val="26"/>
          <w:szCs w:val="26"/>
        </w:rPr>
        <w:t xml:space="preserve">- Về cơ cấu tài sản của công ty</w:t>
      </w:r>
      <w:r>
        <w:rPr>
          <w:b/>
          <w:sz w:val="26"/>
          <w:szCs w:val="26"/>
        </w:rPr>
      </w:r>
    </w:p>
    <w:tbl>
      <w:tblPr>
        <w:tblW w:w="5000" w:type="pct"/>
        <w:tblBorders>
          <w:top w:val="single" w:color="auto" w:sz="4" w:space="0"/>
          <w:left w:val="single" w:color="auto" w:sz="4" w:space="0"/>
          <w:bottom w:val="single" w:color="000000" w:sz="4" w:space="0"/>
          <w:right w:val="single" w:color="auto" w:sz="4" w:space="0"/>
          <w:insideH w:val="single" w:color="000000"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000000"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TT</w:t>
            </w:r>
            <w:r>
              <w:rPr>
                <w:b/>
                <w:bCs/>
              </w:rPr>
            </w:r>
          </w:p>
        </w:tc>
        <w:tc>
          <w:tcPr>
            <w:tcBorders>
              <w:top w:val="single" w:color="auto" w:sz="4" w:space="0"/>
              <w:left w:val="single" w:color="auto" w:sz="4" w:space="0"/>
              <w:bottom w:val="single" w:color="000000" w:sz="4" w:space="0"/>
              <w:right w:val="single" w:color="auto" w:sz="4" w:space="0"/>
            </w:tcBorders>
            <w:tcW w:w="208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 -1]</w:t>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w:t>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Cs/>
              </w:rPr>
            </w:pPr>
            <w:r>
              <w:rPr>
                <w:rFonts w:ascii="Times New Roman" w:hAnsi="Times New Roman" w:cs="Times New Roman"/>
                <w:b/>
                <w:bCs/>
                <w:sz w:val="22"/>
                <w:szCs w:val="22"/>
              </w:rPr>
              <w:t xml:space="preserve">[Ngày báo cáo]</w:t>
            </w:r>
            <w:r>
              <w:rPr>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A</w:t>
            </w:r>
            <w:r>
              <w:rPr>
                <w:b/>
                <w:bCs/>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ngắn hạn</w:t>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ngắn hạn:]</w:t>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ngắn hạn]</w:t>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ngắn hạn::]</w:t>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Tiền và các khoản tương đương tiền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[Tiền và tương đương tiền:]</w:t>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[Tiền và tương đương tiền]</w:t>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ngắn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[Đầu tư tài chính ngắn hạn:]</w:t>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[Đầu tư tài chính ngắn hạn]</w:t>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Các khoản phải thu</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[Các khoản phải thu ngắn hạn:]</w:t>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[Các khoản phải thu ngắn hạn]</w:t>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[Các khoản phải thu ngắn hạn::]</w:t>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4</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Hàng tồn kho</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[Hàng tồn kho:]</w:t>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[Hàng tồn kho]</w:t>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[Hàng tồn kho::]</w:t>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5</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lưu động khác</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rPr>
            </w:pPr>
            <w:r>
              <w:rPr>
                <w:rFonts w:ascii="Times New Roman" w:hAnsi="Times New Roman" w:cs="Times New Roman"/>
                <w:b/>
                <w:bCs/>
                <w:sz w:val="24"/>
                <w:szCs w:val="24"/>
              </w:rPr>
              <w:t xml:space="preserve">B</w:t>
            </w:r>
            <w:r>
              <w:rPr>
                <w:b/>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dài hạn</w:t>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dài hạn:]</w:t>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dài hạn]</w:t>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dài hạn::]</w:t>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[Tài sản cố định hữu hình:]</w:t>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[Tài sản cố định hữu hình]</w:t>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[Tài sản cố định hữu hình::]</w:t>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dài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[Đầu tư tài chính dài hạn:]</w:t>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[Đầu tư tài chính dài hạn]</w:t>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Xây dựng cơ bản dở dang</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p>
        </w:tc>
      </w:tr>
      <w:tr>
        <w:trPr/>
        <w:tc>
          <w:tcPr>
            <w:tcBorders>
              <w:top w:val="single" w:color="000000" w:sz="4" w:space="0"/>
              <w:left w:val="single" w:color="auto" w:sz="8" w:space="0"/>
              <w:bottom w:val="single" w:color="auto" w:sz="8" w:space="0"/>
              <w:right w:val="single" w:color="000000" w:sz="8" w:space="0"/>
            </w:tcBorders>
            <w:tcW w:w="344" w:type="pct"/>
            <w:vAlign w:val="center"/>
            <w:textDirection w:val="lrTb"/>
            <w:noWrap w:val="false"/>
          </w:tcPr>
          <w:p>
            <w:pPr>
              <w:pBdr/>
              <w:spacing/>
              <w:ind/>
              <w:jc w:val="center"/>
              <w:rPr>
                <w:b/>
                <w:bCs/>
              </w:rPr>
            </w:pPr>
            <w:r>
              <w:rPr>
                <w:b/>
                <w:bCs/>
              </w:rPr>
            </w:r>
            <w:r>
              <w:rPr>
                <w:b/>
                <w:bCs/>
              </w:rPr>
            </w:r>
          </w:p>
        </w:tc>
        <w:tc>
          <w:tcPr>
            <w:tcBorders>
              <w:top w:val="single" w:color="000000" w:sz="4" w:space="0"/>
              <w:left w:val="single" w:color="auto" w:sz="8" w:space="0"/>
              <w:bottom w:val="single" w:color="auto" w:sz="8" w:space="0"/>
              <w:right w:val="single" w:color="000000" w:sz="8"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[Tổng tài sản:]</w:t>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[Tổng tài sản]</w:t>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b/>
                <w:bCs/>
              </w:rPr>
            </w:r>
            <w:r>
              <w:rPr>
                <w:b/>
                <w:bCs/>
              </w:rPr>
            </w:r>
          </w:p>
        </w:tc>
      </w:tr>
    </w:tbl>
    <w:p>
      <w:pPr>
        <w:pStyle w:val="844"/>
        <w:pBdr/>
        <w:spacing w:after="0"/>
        <w:ind w:firstLine="567" w:left="0"/>
        <w:jc w:val="both"/>
        <w:rPr>
          <w:b/>
          <w:sz w:val="26"/>
          <w:szCs w:val="26"/>
        </w:rPr>
      </w:pPr>
      <w:r>
        <w:rPr>
          <w:rFonts w:ascii="Times New Roman" w:hAnsi="Times New Roman" w:cs="Times New Roman"/>
          <w:b/>
          <w:bCs/>
          <w:sz w:val="26"/>
          <w:szCs w:val="26"/>
        </w:rPr>
        <w:t xml:space="preserve">a. Đánh giá tài sản ngắn hạn:</w:t>
      </w:r>
      <w:r>
        <w:rPr>
          <w:b/>
          <w:sz w:val="26"/>
          <w:szCs w:val="26"/>
        </w:rPr>
      </w:r>
    </w:p>
    <w:p>
      <w:pPr>
        <w:pStyle w:val="844"/>
        <w:pBdr/>
        <w:spacing w:after="0"/>
        <w:ind w:firstLine="567" w:left="0"/>
        <w:jc w:val="both"/>
        <w:rPr>
          <w:sz w:val="26"/>
          <w:szCs w:val="26"/>
        </w:rPr>
      </w:pPr>
      <w:r>
        <w:rPr>
          <w:rFonts w:ascii="Times New Roman" w:hAnsi="Times New Roman" w:cs="Times New Roman"/>
          <w:sz w:val="26"/>
          <w:szCs w:val="26"/>
        </w:rPr>
        <w:t xml:space="preserve">Tài sản ngắn hạn của Công ty năm [Năm liền kề -1] là [Tài sản ngắn hạn:] đồng, đến 31/12/[Năm liền kề] là [Tài sản ngắn hạn] đồng, chênh lệch [CL Tài sản ngắn hạn] đồng so với năm trước, cụ thể:</w:t>
      </w:r>
      <w:r>
        <w:rPr>
          <w:sz w:val="26"/>
          <w:szCs w:val="26"/>
        </w:rPr>
      </w:r>
    </w:p>
    <w:p>
      <w:pPr>
        <w:pStyle w:val="844"/>
        <w:pBdr/>
        <w:spacing w:after="0"/>
        <w:ind w:firstLine="567" w:left="0"/>
        <w:jc w:val="both"/>
        <w:rPr>
          <w:b/>
          <w:sz w:val="26"/>
          <w:szCs w:val="26"/>
        </w:rPr>
      </w:pPr>
      <w:r>
        <w:rPr>
          <w:rFonts w:ascii="Times New Roman" w:hAnsi="Times New Roman" w:cs="Times New Roman"/>
          <w:b/>
          <w:bCs/>
          <w:sz w:val="26"/>
          <w:szCs w:val="26"/>
        </w:rPr>
        <w:t xml:space="preserve">- Tiền và các khoản tương đương tiền:</w:t>
      </w:r>
      <w:r>
        <w:rPr>
          <w:b/>
          <w:sz w:val="26"/>
          <w:szCs w:val="26"/>
        </w:rPr>
      </w:r>
    </w:p>
    <w:p>
      <w:pPr>
        <w:pStyle w:val="844"/>
        <w:pBdr/>
        <w:spacing w:after="0"/>
        <w:ind w:firstLine="567" w:left="0"/>
        <w:jc w:val="both"/>
        <w:rPr>
          <w:sz w:val="26"/>
          <w:szCs w:val="26"/>
        </w:rPr>
      </w:pPr>
      <w:r>
        <w:rPr>
          <w:rFonts w:ascii="Times New Roman" w:hAnsi="Times New Roman" w:cs="Times New Roman"/>
          <w:sz w:val="26"/>
          <w:szCs w:val="26"/>
          <w:highlight w:val="yellow"/>
        </w:rPr>
        <w:t xml:space="preserve">Có thể yêu cầu cung cấp Sổ quỹ </w:t>
      </w:r>
      <w:r>
        <w:rPr>
          <w:rFonts w:ascii="Times New Roman" w:hAnsi="Times New Roman" w:cs="Times New Roman"/>
          <w:sz w:val="26"/>
          <w:szCs w:val="26"/>
          <w:highlight w:val="yellow"/>
        </w:rPr>
        <w:t xml:space="preserve">tiền mặt, sao kê chi tiết tài khoản tại các ngân hàng (để xem xét sự biến động của dòng tiền vào – ra) trong trường hợp doanh thu chuyển tiền về NH không tương xứng (nhỏ hơn) so với doanh số cho vay hoặc doanh thu không tương xứng với tỷ trọng cấp tín dụng</w:t>
      </w:r>
      <w:r>
        <w:rPr>
          <w:sz w:val="26"/>
          <w:szCs w:val="26"/>
        </w:rPr>
      </w:r>
    </w:p>
    <w:p>
      <w:pPr>
        <w:pStyle w:val="844"/>
        <w:pBdr/>
        <w:spacing w:after="0"/>
        <w:ind w:firstLine="567" w:left="0"/>
        <w:jc w:val="both"/>
        <w:rPr>
          <w:sz w:val="26"/>
          <w:szCs w:val="26"/>
        </w:rPr>
      </w:pPr>
      <w:r>
        <w:rPr>
          <w:rFonts w:ascii="Times New Roman" w:hAnsi="Times New Roman" w:cs="Times New Roman"/>
          <w:sz w:val="26"/>
          <w:szCs w:val="26"/>
        </w:rPr>
        <w:t xml:space="preserve">Tiền và các khoản tương đương tiền của Công ty năm [Năm liền kề -1] là [Tiền và tương đương tiền:] đồng</w:t>
      </w:r>
      <w:r>
        <w:rPr>
          <w:rFonts w:ascii="Times New Roman" w:hAnsi="Times New Roman" w:cs="Times New Roman"/>
          <w:sz w:val="26"/>
          <w:szCs w:val="26"/>
        </w:rPr>
        <w:t xml:space="preserve">, đến 31/12/[Năm liền kề] là [Tiền và tương đương tiền] đồng, chênh lệch [CL Tiền và tương đương tiền] đồng so với năm trước. Tiền và các khoản tương đương tiền của công ty chiếm tỷ trọng ...... trong tổng tài sản ngắn hạn là do ....... </w:t>
      </w:r>
      <w:r>
        <w:rPr>
          <w:sz w:val="26"/>
          <w:szCs w:val="26"/>
        </w:rPr>
      </w:r>
    </w:p>
    <w:p>
      <w:pPr>
        <w:pStyle w:val="844"/>
        <w:pBdr/>
        <w:spacing w:after="0"/>
        <w:ind w:firstLine="567" w:left="0"/>
        <w:jc w:val="both"/>
        <w:rPr>
          <w:sz w:val="26"/>
          <w:szCs w:val="26"/>
        </w:rPr>
      </w:pPr>
      <w:r>
        <w:rPr>
          <w:rFonts w:ascii="Times New Roman" w:hAnsi="Times New Roman" w:cs="Times New Roman"/>
          <w:sz w:val="26"/>
          <w:szCs w:val="26"/>
        </w:rPr>
        <w:t xml:space="preserve">Số dư tiền gửi của Công ty tại Agribank [Tên chi nhánh/PGD] tại thời điểm 31/12/[Năm liền kề -1] là ......... triệu đồng, thời điểm 31/12/[Năm liền kề] là ......... triệu đồng,. </w:t>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Đầu tư tài chính ngắn hạn:</w:t>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khoản đầu tư này, cần liên hệ với chính sách đầu tư của doanh nghiệp cũng như môi trường đầu tư trong từng thời kỳ. Đầu tư TCNH của DN chủ yếu là: tiền gửi có kỳ hạn &lt;12 tháng, đầu tư chứng khoán ngắn hạn, góp vốn, cho vay ngắn hạn. </w:t>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Khi phân tích, ngoài việc đánh giá sự biến động tăng, giảm của khoản mục này cần phải phân tích, đánh giá nguyên nhân từ đâu phát sinh khoản mục</w:t>
      </w:r>
      <w:r>
        <w:rPr>
          <w:rFonts w:ascii="Times New Roman" w:hAnsi="Times New Roman" w:cs="Times New Roman"/>
          <w:sz w:val="26"/>
          <w:szCs w:val="26"/>
          <w:highlight w:val="yellow"/>
        </w:rPr>
        <w:t xml:space="preserve"> này trong điều kiện DN đang có nhu cầu vay vốn để thực hiện phương án hoạt động sản xuất kinh doanh từ các TCTD? Phân tích dòng vốn của từng loại đầu tư; xác định doanh lợi thu được tư việc đầu tư; Trường hợp có rủi ro thì phương án trích lập như thế nào?</w:t>
      </w:r>
      <w:r>
        <w:rPr>
          <w:sz w:val="26"/>
          <w:szCs w:val="26"/>
        </w:rPr>
      </w:r>
    </w:p>
    <w:p>
      <w:pPr>
        <w:pBdr/>
        <w:spacing/>
        <w:ind w:firstLine="567"/>
        <w:jc w:val="both"/>
        <w:rPr>
          <w:sz w:val="26"/>
          <w:szCs w:val="26"/>
        </w:rPr>
      </w:pPr>
      <w:r>
        <w:rPr>
          <w:rFonts w:ascii="Times New Roman" w:hAnsi="Times New Roman" w:cs="Times New Roman"/>
          <w:sz w:val="26"/>
          <w:szCs w:val="26"/>
        </w:rPr>
        <w:t xml:space="preserve">Đầu tư tài chính ngắn hạn của</w:t>
      </w:r>
      <w:r>
        <w:rPr>
          <w:rFonts w:ascii="Times New Roman" w:hAnsi="Times New Roman" w:cs="Times New Roman"/>
          <w:sz w:val="26"/>
          <w:szCs w:val="26"/>
        </w:rPr>
        <w:t xml:space="preserve"> Công ty năm [Năm liền kề -1] là [Đầu tư tài chính ngắn hạn:] đồng, đến 31/12/[Năm liền kề] là [Đầu tư tài chính ngắn hạn] đồng, chênh lệch [CL Đầu tư tài chính ngắn hạn] đồng so với năm trước. Chiếm tỷ trọng ... trong tổng tài sản ngắn hạn. </w:t>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phải thu ngắn hạn:</w:t>
      </w:r>
      <w:r>
        <w:rPr>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b/>
          <w:bCs/>
          <w:sz w:val="26"/>
          <w:szCs w:val="26"/>
          <w:highlight w:val="yellow"/>
        </w:rPr>
        <w:t xml:space="preserve">Lưu ý:</w:t>
      </w:r>
      <w:r>
        <w:rPr>
          <w:rFonts w:ascii="Times New Roman" w:hAnsi="Times New Roman" w:cs="Times New Roman"/>
          <w:sz w:val="26"/>
          <w:szCs w:val="26"/>
          <w:highlight w:val="yellow"/>
        </w:rPr>
        <w:t xml:space="preserve"> Khi phân tích</w:t>
      </w:r>
      <w:r>
        <w:rPr>
          <w:rFonts w:ascii="Times New Roman" w:hAnsi="Times New Roman" w:cs="Times New Roman"/>
          <w:sz w:val="26"/>
          <w:szCs w:val="26"/>
          <w:highlight w:val="yellow"/>
        </w:rPr>
        <w:t xml:space="preserve"> sự biến động của các khoản phải thu cần căn cứ vào tính chất, đặc điểm kinh doanh của DN, đặc tính, chu kỳ sản phẩm, khả năng tổ chức quản lý bán hàng (kênh phân phối, quảng bá, tiếp thị, chất lượng, uy tín...) để đánh giá tính phù hợp của khoản mục này. </w:t>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Với DN đã hoạt động KD trong nhiều năm, đã thiết lập được kênh phân phối (khách hàng truyền thống) thì các khoản công nợ không mang</w:t>
      </w:r>
      <w:r>
        <w:rPr>
          <w:rFonts w:ascii="Times New Roman" w:hAnsi="Times New Roman" w:cs="Times New Roman"/>
          <w:sz w:val="26"/>
          <w:szCs w:val="26"/>
          <w:highlight w:val="yellow"/>
        </w:rPr>
        <w:t xml:space="preserve"> tính đột biến. DN kinh doanh các sản phẩm có tính độc quyền, có uy tín, thương hiệu... SP, hàng hóa thường được tiêu thụ nhanh, thu tiền nhanh. Riêng, đối với các SP, hàng hóa mới, sản phẩm lỗi mốt, giá thị trường đang down ... buộc DN phải áp dụng chính </w:t>
      </w:r>
      <w:r>
        <w:rPr>
          <w:rFonts w:ascii="Times New Roman" w:hAnsi="Times New Roman" w:cs="Times New Roman"/>
          <w:sz w:val="26"/>
          <w:szCs w:val="26"/>
          <w:highlight w:val="yellow"/>
        </w:rPr>
        <w:t xml:space="preserve">sách bán hàng trả chậm, bán chịu... để tiêu thụ hàng hóa. Ngược lại trong điều kiện kinh doanh bình thường nhưng nợ phải thu tăng lên đột biến cần phải tìm hiểu, phân tích nguyên nhân, dự báo khả năng rủi ro để điều chỉnh lại việc cấp tín dụng cho phù hợp.</w:t>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Cá</w:t>
      </w:r>
      <w:r>
        <w:rPr>
          <w:rFonts w:ascii="Times New Roman" w:hAnsi="Times New Roman" w:cs="Times New Roman"/>
          <w:sz w:val="26"/>
          <w:szCs w:val="26"/>
          <w:highlight w:val="yellow"/>
        </w:rPr>
        <w:t xml:space="preserve">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 t</w:t>
      </w:r>
      <w:r>
        <w:rPr>
          <w:rFonts w:ascii="Times New Roman" w:hAnsi="Times New Roman" w:cs="Times New Roman"/>
          <w:sz w:val="26"/>
          <w:szCs w:val="26"/>
          <w:highlight w:val="yellow"/>
        </w:rPr>
        <w:t xml:space="preserve">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  </w:t>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sz w:val="26"/>
          <w:szCs w:val="28"/>
        </w:rPr>
      </w:r>
    </w:p>
    <w:p>
      <w:pPr>
        <w:pBdr/>
        <w:spacing/>
        <w:ind w:firstLine="567"/>
        <w:jc w:val="both"/>
        <w:rPr>
          <w:sz w:val="26"/>
          <w:szCs w:val="26"/>
        </w:rPr>
      </w:pPr>
      <w:r>
        <w:rPr>
          <w:rFonts w:ascii="Times New Roman" w:hAnsi="Times New Roman" w:cs="Times New Roman"/>
          <w:sz w:val="26"/>
          <w:szCs w:val="26"/>
        </w:rPr>
        <w:t xml:space="preserve">Các khoản phải thu ngắn hạn năm [Năm liền kề -1] là [Các khoản phải thu ngắn hạn:] đồng, đến 31/12/[Năm liền kề] của Công ty là [Các khoản phải thu ngắn hạn] đồng, chênh lệch [CL Các khoản phải thu ngắn hạn] đồng so với năm trước, trong đó:</w:t>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Phải thu khách hàng:</w:t>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năm [Năm liền kề -1] là [Phải thu ngắn hạn của KH:] đồng, đến 31/12/[Năm liền kề] là [Phải thu ngắn hạn của KH] đồng; chênh lệch [CL Phải thu ngắn hạn của KH] đồng so với năm trước.</w:t>
      </w:r>
      <w:r>
        <w:rPr>
          <w:sz w:val="26"/>
          <w:szCs w:val="26"/>
        </w:rPr>
      </w:r>
    </w:p>
    <w:p>
      <w:pPr>
        <w:pBdr/>
        <w:spacing/>
        <w:ind w:firstLine="567"/>
        <w:jc w:val="both"/>
        <w:rPr>
          <w:sz w:val="26"/>
          <w:szCs w:val="26"/>
        </w:rPr>
      </w:pPr>
      <w:r>
        <w:rPr>
          <w:rFonts w:ascii="Times New Roman" w:hAnsi="Times New Roman" w:cs="Times New Roman"/>
          <w:sz w:val="26"/>
          <w:szCs w:val="26"/>
        </w:rPr>
        <w:t xml:space="preserve">Chi tiết phải thu khách hàng chiếm tỷ trọng lớn:</w:t>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 -1]</w:t>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w:t>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 </w:t>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Ban QLDA .............</w:t>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Bộ chỉ huy quân sự tỉnh ................ </w:t>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w:t>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 </w:t>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Một số khoản phải thu tập trung ở các khách hàng lớn như .............., đây là những chủ đầu tư lớn, có uy tín mà công ty đã thực hiện nhiều dự án và luôn hoàn thành đầy đủ công nợ...</w:t>
      </w:r>
      <w:r>
        <w:rPr>
          <w:sz w:val="26"/>
          <w:szCs w:val="26"/>
        </w:rPr>
      </w:r>
    </w:p>
    <w:p>
      <w:pPr>
        <w:pBdr/>
        <w:spacing/>
        <w:ind w:firstLine="567"/>
        <w:jc w:val="both"/>
        <w:rPr>
          <w:sz w:val="26"/>
          <w:szCs w:val="26"/>
        </w:rPr>
      </w:pPr>
      <w:r>
        <w:rPr>
          <w:rFonts w:ascii="Times New Roman" w:hAnsi="Times New Roman" w:cs="Times New Roman"/>
          <w:sz w:val="26"/>
          <w:szCs w:val="26"/>
        </w:rPr>
        <w:t xml:space="preserve">Công ty không có các khoản phải thu thuộc nhóm khách hàng có liên quan.</w:t>
      </w:r>
      <w:r>
        <w:rPr>
          <w:sz w:val="26"/>
          <w:szCs w:val="26"/>
        </w:rPr>
      </w:r>
    </w:p>
    <w:p>
      <w:pPr>
        <w:pBdr/>
        <w:spacing/>
        <w:ind w:firstLine="567"/>
        <w:jc w:val="both"/>
        <w:rPr>
          <w:b/>
          <w:bCs/>
          <w:iCs/>
          <w:sz w:val="26"/>
          <w:szCs w:val="26"/>
        </w:rPr>
      </w:pPr>
      <w:r>
        <w:rPr>
          <w:rFonts w:ascii="Times New Roman" w:hAnsi="Times New Roman" w:cs="Times New Roman"/>
          <w:b/>
          <w:bCs/>
          <w:sz w:val="26"/>
          <w:szCs w:val="26"/>
        </w:rPr>
        <w:t xml:space="preserve">+) Trả trước cho người bán ngắn hạn</w:t>
      </w:r>
      <w:r>
        <w:rPr>
          <w:b/>
          <w:bCs/>
          <w:iCs/>
          <w:sz w:val="26"/>
          <w:szCs w:val="26"/>
        </w:rPr>
      </w:r>
    </w:p>
    <w:p>
      <w:pPr>
        <w:pBdr/>
        <w:spacing/>
        <w:ind w:firstLine="567"/>
        <w:jc w:val="both"/>
        <w:rPr>
          <w:bCs/>
          <w:iCs/>
          <w:sz w:val="26"/>
          <w:szCs w:val="26"/>
        </w:rPr>
      </w:pPr>
      <w:r>
        <w:rPr>
          <w:rFonts w:ascii="Times New Roman" w:hAnsi="Times New Roman" w:cs="Times New Roman"/>
          <w:sz w:val="26"/>
          <w:szCs w:val="26"/>
          <w:highlight w:val="yellow"/>
        </w:rPr>
        <w:t xml:space="preserve">Các khoản trả trước cho người bán thường là khoản đặt trước tiền hàng: Mua hàng hóa, nguyên liệu sản xuất. Ngoài ra còn có các khoản đặt trước để mua vật tư, thiết </w:t>
      </w:r>
      <w:r>
        <w:rPr>
          <w:rFonts w:ascii="Times New Roman" w:hAnsi="Times New Roman" w:cs="Times New Roman"/>
          <w:sz w:val="26"/>
          <w:szCs w:val="26"/>
          <w:highlight w:val="yellow"/>
        </w:rPr>
        <w:t xml:space="preserve">bị... cho thay thế, sửa chữa, đầu tư dự án nhưng chưa hạch toán vào chi phí đầu tư dài hạn...Trả trước người bán là các khoản Công ty tạm ứng cho đối tác cung cấp vật tư, vật liệu xây dựng phục vụ hoạt động xây dựng của doanh nghiệp.</w:t>
      </w:r>
      <w:r>
        <w:rPr>
          <w:rFonts w:ascii="Times New Roman" w:hAnsi="Times New Roman" w:cs="Times New Roman"/>
          <w:sz w:val="26"/>
          <w:szCs w:val="26"/>
        </w:rPr>
        <w:t xml:space="preserve"> </w:t>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Tr</w:t>
      </w:r>
      <w:r>
        <w:rPr>
          <w:rFonts w:ascii="Times New Roman" w:hAnsi="Times New Roman" w:cs="Times New Roman"/>
          <w:sz w:val="26"/>
          <w:szCs w:val="26"/>
        </w:rPr>
        <w:t xml:space="preserve">ả trước ngắn hạn năm [Năm liền kề -1] là [Trả trước cho ng bán ngắn hạn:] đồng, đến 31/12/[Năm liền kề] là [Trả trước cho ng bán ngắn hạn] đồng, chênh lệch [CL Trả trước cho ng bán ngắn hạn] đồng so với năm trước do ............  </w:t>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Chi tiết trả trước cho người bán ngắn hạn:</w:t>
      </w:r>
      <w:r>
        <w:rPr>
          <w:bCs/>
          <w:iCs/>
          <w:sz w:val="26"/>
          <w:szCs w:val="26"/>
        </w:rPr>
      </w:r>
    </w:p>
    <w:p>
      <w:pPr>
        <w:pBdr/>
        <w:spacing/>
        <w:ind/>
        <w:jc w:val="right"/>
        <w:rPr>
          <w:i/>
          <w:sz w:val="26"/>
          <w:szCs w:val="26"/>
        </w:rPr>
      </w:pPr>
      <w:r>
        <w:rPr>
          <w:rFonts w:ascii="Times New Roman" w:hAnsi="Times New Roman" w:cs="Times New Roman"/>
          <w:i/>
          <w:iCs/>
          <w:sz w:val="26"/>
          <w:szCs w:val="26"/>
        </w:rPr>
        <w:t xml:space="preserve">Đơn vi: đồng</w:t>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 -1]</w:t>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w:t>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CP .......................</w:t>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TNHH ............... </w:t>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 </w:t>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w:t>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r>
    </w:tbl>
    <w:p>
      <w:pPr>
        <w:pBdr/>
        <w:spacing/>
        <w:ind w:firstLine="567"/>
        <w:jc w:val="both"/>
        <w:rPr>
          <w:b/>
          <w:sz w:val="26"/>
          <w:szCs w:val="26"/>
        </w:rPr>
      </w:pPr>
      <w:r>
        <w:rPr>
          <w:rFonts w:ascii="Times New Roman" w:hAnsi="Times New Roman" w:cs="Times New Roman"/>
          <w:b/>
          <w:bCs/>
          <w:sz w:val="26"/>
          <w:szCs w:val="26"/>
        </w:rPr>
        <w:t xml:space="preserve">+) Phải thu ngắn hạn khác</w:t>
      </w:r>
      <w:r>
        <w:rPr>
          <w:b/>
          <w:sz w:val="26"/>
          <w:szCs w:val="26"/>
        </w:rPr>
      </w:r>
    </w:p>
    <w:p>
      <w:pPr>
        <w:pBdr/>
        <w:spacing/>
        <w:ind w:firstLine="567"/>
        <w:jc w:val="both"/>
        <w:rPr>
          <w:rFonts w:eastAsia="Calibri"/>
          <w:sz w:val="26"/>
          <w:szCs w:val="26"/>
          <w:highlight w:val="yellow"/>
        </w:rPr>
      </w:pPr>
      <w:r>
        <w:rPr>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w:t>
      </w:r>
      <w:r>
        <w:rPr>
          <w:sz w:val="26"/>
          <w:szCs w:val="26"/>
          <w:highlight w:val="yellow"/>
        </w:rPr>
        <w:t xml:space="preserve"> toán?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w:t>
      </w:r>
      <w:r>
        <w:rPr>
          <w:rFonts w:eastAsia="Calibri"/>
          <w:sz w:val="26"/>
          <w:szCs w:val="26"/>
          <w:highlight w:val="yellow"/>
        </w:rPr>
      </w:r>
    </w:p>
    <w:p>
      <w:pPr>
        <w:pBdr/>
        <w:spacing/>
        <w:ind w:firstLine="567"/>
        <w:jc w:val="both"/>
        <w:rPr>
          <w:b/>
          <w:sz w:val="26"/>
          <w:szCs w:val="26"/>
        </w:rPr>
      </w:pPr>
      <w:r>
        <w:rPr>
          <w:rFonts w:ascii="Times New Roman" w:hAnsi="Times New Roman" w:cs="Times New Roman"/>
          <w:b/>
          <w:bCs/>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tại thời điểm 31/12/[Năm liền kề -1] là [Phải thu ngắn hạn khác:] đồng, đến 31/12/[Năm liền kề] là [Phải thu ngắn hạn khác], chênh lệch [CL Phải thu ngắn hạn khác] đồng so với năm trước và chiếm tỷ trọng .....% </w:t>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Hàng tồn kho:</w:t>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Để bảo đảm cho quá trình kinh doanh được tiến hành liên tục, không bị gián đoạn, doanh nghiệp phải xác định được lượng hàng tồn kho dự trữ hợp lý. Lượng hàng tồn kho dự trữ hợp lý là lượng dự trữ vừa đáp ứng được nhu cầu kinh doanh liên tục, vừa</w:t>
      </w:r>
      <w:r>
        <w:rPr>
          <w:rFonts w:ascii="Times New Roman" w:hAnsi="Times New Roman" w:cs="Times New Roman"/>
          <w:sz w:val="26"/>
          <w:szCs w:val="26"/>
          <w:highlight w:val="yellow"/>
        </w:rPr>
        <w:t xml:space="preserve"> không gia tăng chi phí tồn kho gây ứ đọng vốn. Lượng dự trữ hợp lý phụ thuộc vào nhiều nhân tố, trong đó chủ yếu vào quy mô sản xuất, tiêu thụ (lượng vật tư tiêu dùng hay hàng hóa tiêu thụ bình quân một ngày đêm), vào mức độ chuyên môn hóa, vào hệ thống c</w:t>
      </w:r>
      <w:r>
        <w:rPr>
          <w:rFonts w:ascii="Times New Roman" w:hAnsi="Times New Roman" w:cs="Times New Roman"/>
          <w:sz w:val="26"/>
          <w:szCs w:val="26"/>
          <w:highlight w:val="yellow"/>
        </w:rPr>
        <w:t xml:space="preserve">ung cấp, vào tình hình tài chính của doanh nghiệp và vào các nguyên nhân khác (tính thời vụ; vào định mức tiêu hao vật tư; vào thuộc tính tự nhiên của vật tư, hàng hóa; vào việc bảo đảm các phương tiện vận chuyển cũng như khả năng cung cấp của người bán). </w:t>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tỷ t</w:t>
      </w:r>
      <w:r>
        <w:rPr>
          <w:rFonts w:ascii="Times New Roman" w:hAnsi="Times New Roman" w:cs="Times New Roman"/>
          <w:sz w:val="26"/>
          <w:szCs w:val="26"/>
          <w:highlight w:val="yellow"/>
        </w:rPr>
        <w:t xml:space="preserve">rọng hàng tồn kho chiếm trong tổng số tài sản, cần liên hệ với ngành nghề và lĩnh vực kinh doanh của doanh nghiệp, với chính sách dự trữ, với tính thời vụ của kinh doanh và với chu kỳ sống của sản phẩm, hàng hóa. Ví dụ: trong các doanh nghiệp kinh doanh th</w:t>
      </w:r>
      <w:r>
        <w:rPr>
          <w:rFonts w:ascii="Times New Roman" w:hAnsi="Times New Roman" w:cs="Times New Roman"/>
          <w:sz w:val="26"/>
          <w:szCs w:val="26"/>
          <w:highlight w:val="yellow"/>
        </w:rPr>
        <w:t xml:space="preserve">ương mại, tỷ trọng hàng tồn kho thường lớn do đối tượng kinh doanh của các doanh nghiệp này là mua hàng (số lượng lớn) để bán ra (bán sỉ, bán lẻ); trong các doanh nghiệp kinh doanh dịch vụ (khách sạn, giải trí...), tỷ trọng hàng tồn kho thường chiếm tỷ trọ</w:t>
      </w:r>
      <w:r>
        <w:rPr>
          <w:rFonts w:ascii="Times New Roman" w:hAnsi="Times New Roman" w:cs="Times New Roman"/>
          <w:sz w:val="26"/>
          <w:szCs w:val="26"/>
          <w:highlight w:val="yellow"/>
        </w:rPr>
        <w:t xml:space="preserve">ng thấp; đối với các doanh nghiệp sản xuất, kinh doanh mang tính thời vụ, vào những thời điểm nhất định trong năm, tỷ trọng hàng tồn kho thường rất cao do yêu cầu dự trữ thời vụ, ngược lại, vào những thời điểm khác, lượng hàng tồn kho lại quá thấp. Mặt khá</w:t>
      </w:r>
      <w:r>
        <w:rPr>
          <w:rFonts w:ascii="Times New Roman" w:hAnsi="Times New Roman" w:cs="Times New Roman"/>
          <w:sz w:val="26"/>
          <w:szCs w:val="26"/>
          <w:highlight w:val="yellow"/>
        </w:rPr>
        <w:t xml:space="preserve">c, khi sản phẩm, hàng hóa đang ở giai đoạn tăng trưởng, DN cũng có thể tăng lượng dự trữ hàng để đáp ứng nhu cầu chiếm lính thị trường nhưng khi sản phẩm, hàng hóa ở vào giai đoạn suy thoái, để tránh rủi ro, DN phải giảm lượng hàng tồn kho ở mức thấp nhất.</w:t>
      </w:r>
      <w:r>
        <w:rPr>
          <w:sz w:val="26"/>
          <w:szCs w:val="26"/>
          <w:highlight w:val="yellow"/>
        </w:rPr>
      </w:r>
    </w:p>
    <w:p>
      <w:pPr>
        <w:pBdr/>
        <w:spacing/>
        <w:ind w:firstLine="567"/>
        <w:jc w:val="both"/>
        <w:rPr>
          <w:rFonts w:eastAsia="Calibri"/>
          <w:sz w:val="26"/>
          <w:szCs w:val="26"/>
        </w:rPr>
      </w:pPr>
      <w:r>
        <w:rPr>
          <w:sz w:val="26"/>
          <w:szCs w:val="26"/>
          <w:highlight w:val="yellow"/>
        </w:rPr>
        <w:t xml:space="preserve">Đối với hoạt động kinh doanh thương mại: lưu ý phân tích, đánh giá về kho hàng, hàng tồn kho, thị trường/đối tác đầu ra/đầu vào; doanh số phát sinh giao dịck nợ/có của các đối tác là người có liên quan; đối tác vừa cung cấp đầu vào vừa tiêu thụ đầu ra...</w:t>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Hàng tồn kho năm [Năm liền kề -1] là [Hàng tồn kho:] đồng, đến 31/12/[Năm liền kề] là [Hàng tồn kho] đồng, chênh lệch [CL Hàng tồn kho] đồng so với năm trước.</w:t>
      </w:r>
      <w:r>
        <w:rPr>
          <w:sz w:val="26"/>
          <w:szCs w:val="26"/>
        </w:rPr>
      </w:r>
    </w:p>
    <w:p>
      <w:pPr>
        <w:pBdr/>
        <w:spacing/>
        <w:ind w:firstLine="567"/>
        <w:jc w:val="both"/>
        <w:rPr>
          <w:sz w:val="26"/>
          <w:szCs w:val="26"/>
        </w:rPr>
      </w:pPr>
      <w:r>
        <w:rPr>
          <w:rFonts w:ascii="Times New Roman" w:hAnsi="Times New Roman" w:cs="Times New Roman"/>
          <w:sz w:val="26"/>
          <w:szCs w:val="26"/>
        </w:rPr>
        <w:t xml:space="preserve">Chi tiết tồn kho chiếm tỷ trọng lớn của Công ty.</w:t>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tiêu</w:t>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[Năm liền kề -1]</w:t>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[Năm liền kề]</w:t>
            </w:r>
            <w:r>
              <w:rPr>
                <w:b/>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 </w:t>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Hàng tồn kho của Công ty bao gồm ...............</w:t>
      </w:r>
      <w:r>
        <w:rPr>
          <w:sz w:val="26"/>
          <w:szCs w:val="26"/>
        </w:rPr>
      </w:r>
    </w:p>
    <w:p>
      <w:pPr>
        <w:pBdr/>
        <w:spacing/>
        <w:ind w:firstLine="567"/>
        <w:jc w:val="both"/>
        <w:rPr>
          <w:sz w:val="26"/>
          <w:szCs w:val="26"/>
        </w:rPr>
      </w:pPr>
      <w:r>
        <w:rPr>
          <w:rFonts w:ascii="Times New Roman" w:hAnsi="Times New Roman" w:cs="Times New Roman"/>
          <w:sz w:val="26"/>
          <w:szCs w:val="26"/>
        </w:rPr>
        <w:t xml:space="preserve">Lý do tăng/giảm hàng tồn kho: do ..................</w:t>
      </w:r>
      <w:r>
        <w:rPr>
          <w:sz w:val="26"/>
          <w:szCs w:val="26"/>
        </w:rPr>
      </w:r>
    </w:p>
    <w:p>
      <w:pPr>
        <w:pBdr/>
        <w:tabs>
          <w:tab w:val="left" w:leader="none" w:pos="8640"/>
        </w:tabs>
        <w:spacing/>
        <w:ind w:firstLine="567"/>
        <w:jc w:val="both"/>
        <w:rPr>
          <w:rFonts w:eastAsia="Calibri"/>
          <w:sz w:val="26"/>
          <w:szCs w:val="26"/>
        </w:rPr>
      </w:pPr>
      <w:r>
        <w:rPr>
          <w:sz w:val="26"/>
          <w:szCs w:val="26"/>
        </w:rPr>
        <w:t xml:space="preserve">+ Tốc độ luân chuyển hàng tồn kho so với kỳ trước, so với cùng kỳ năm trước liền kề, so với DN cùng loại: ........</w:t>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nguyên vật liệu, thành phẩm tồn kho có giá trị  lớn (chiếm từ 10% tổng giá trị hàng tồn kho/mỗi loại hàng tồn kho): .............</w:t>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hàng hàng tồn kho chậm luân chuyển, tồn kho kém mất phẩm chất: ....</w:t>
      </w:r>
      <w:r>
        <w:rPr>
          <w:rFonts w:eastAsia="Calibri"/>
          <w:sz w:val="26"/>
          <w:szCs w:val="26"/>
        </w:rPr>
      </w:r>
    </w:p>
    <w:p>
      <w:pPr>
        <w:pBdr/>
        <w:spacing/>
        <w:ind w:firstLine="567"/>
        <w:jc w:val="both"/>
        <w:rPr>
          <w:rFonts w:eastAsia="Calibri"/>
          <w:sz w:val="26"/>
          <w:szCs w:val="26"/>
        </w:rPr>
      </w:pPr>
      <w:r>
        <w:rPr>
          <w:sz w:val="26"/>
          <w:szCs w:val="26"/>
        </w:rPr>
        <w:t xml:space="preserve">+ Đánh giá việc thực hiện trích lập dự phòng giảm giá hàng tồn kho: ...</w:t>
      </w:r>
      <w:r>
        <w:rPr>
          <w:rFonts w:eastAsia="Calibri"/>
          <w:sz w:val="26"/>
          <w:szCs w:val="26"/>
        </w:rPr>
      </w:r>
    </w:p>
    <w:p>
      <w:pPr>
        <w:pBdr/>
        <w:spacing/>
        <w:ind w:firstLine="567"/>
        <w:jc w:val="both"/>
        <w:rPr>
          <w:b/>
          <w:sz w:val="26"/>
          <w:szCs w:val="26"/>
        </w:rPr>
      </w:pPr>
      <w:r>
        <w:rPr>
          <w:rFonts w:ascii="Times New Roman" w:hAnsi="Times New Roman" w:cs="Times New Roman"/>
          <w:b/>
          <w:bCs/>
          <w:sz w:val="26"/>
          <w:szCs w:val="26"/>
        </w:rPr>
        <w:t xml:space="preserve">- Tài sản ngắn hạn khác:</w:t>
      </w:r>
      <w:r>
        <w:rPr>
          <w:b/>
          <w:sz w:val="26"/>
          <w:szCs w:val="26"/>
        </w:rPr>
      </w:r>
    </w:p>
    <w:p>
      <w:pPr>
        <w:pBdr/>
        <w:spacing/>
        <w:ind w:firstLine="567"/>
        <w:jc w:val="both"/>
        <w:rPr>
          <w:sz w:val="26"/>
          <w:szCs w:val="26"/>
        </w:rPr>
      </w:pPr>
      <w:r>
        <w:rPr>
          <w:rFonts w:ascii="Times New Roman" w:hAnsi="Times New Roman" w:cs="Times New Roman"/>
          <w:sz w:val="26"/>
          <w:szCs w:val="26"/>
        </w:rPr>
        <w:t xml:space="preserve">Tài sản ngắn hạn khác </w:t>
      </w:r>
      <w:r>
        <w:rPr>
          <w:rFonts w:ascii="Times New Roman" w:hAnsi="Times New Roman" w:cs="Times New Roman"/>
          <w:sz w:val="26"/>
          <w:szCs w:val="26"/>
        </w:rPr>
        <w:t xml:space="preserve">của Công ty năm [Năm liền kề -1] là [Tài sản ngắn hạn khác:] đồng, đến 31/12/[Năm liền kề] là [Tài sản ngắn hạn khác] đồng, chênh lệch [CL Tài sản ngắn hạn khác] đồng so với năm trước. Trả trước ngắn hạn khác chủ yếu là ....  </w:t>
      </w:r>
      <w:r>
        <w:rPr>
          <w:sz w:val="26"/>
          <w:szCs w:val="26"/>
        </w:rPr>
      </w:r>
    </w:p>
    <w:p>
      <w:pPr>
        <w:pStyle w:val="844"/>
        <w:pBdr/>
        <w:spacing w:after="0"/>
        <w:ind w:firstLine="567" w:left="0"/>
        <w:jc w:val="both"/>
        <w:rPr>
          <w:rFonts w:eastAsia="Calibri"/>
          <w:b/>
          <w:sz w:val="26"/>
          <w:szCs w:val="26"/>
        </w:rPr>
      </w:pPr>
      <w:r>
        <w:rPr>
          <w:b/>
          <w:bCs/>
          <w:sz w:val="26"/>
          <w:szCs w:val="26"/>
        </w:rPr>
        <w:t xml:space="preserve">b. Đánh giá tài sản dài hạn:</w:t>
      </w:r>
      <w:r>
        <w:rPr>
          <w:rFonts w:eastAsia="Calibri"/>
          <w:b/>
          <w:sz w:val="26"/>
          <w:szCs w:val="26"/>
        </w:rPr>
      </w:r>
    </w:p>
    <w:p>
      <w:pPr>
        <w:pStyle w:val="844"/>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sự thay đổi của Tài sản dài hạn: so sánh với năm trước liền kề về giá trị, tốc độ tăng/giảm tài sản dài hạn; phân tích nguyên nhân tăng/giảm của một số tài sản chủ yếu. </w:t>
      </w:r>
      <w:r>
        <w:rPr>
          <w:sz w:val="26"/>
          <w:szCs w:val="26"/>
          <w:highlight w:val="yellow"/>
        </w:rPr>
      </w:r>
    </w:p>
    <w:p>
      <w:pPr>
        <w:pStyle w:val="844"/>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tình hình trích khấu hao: xem xét việc trích khấu hao có phù hợp với quy định hiện hành hay không?</w:t>
      </w:r>
      <w:r>
        <w:rPr>
          <w:sz w:val="26"/>
          <w:szCs w:val="26"/>
          <w:highlight w:val="yellow"/>
        </w:rPr>
      </w:r>
    </w:p>
    <w:p>
      <w:pPr>
        <w:pStyle w:val="844"/>
        <w:pBdr/>
        <w:spacing w:after="0"/>
        <w:ind w:firstLine="567" w:left="0"/>
        <w:jc w:val="both"/>
        <w:rPr>
          <w:sz w:val="26"/>
          <w:szCs w:val="26"/>
        </w:rPr>
      </w:pPr>
      <w:r>
        <w:rPr>
          <w:rFonts w:ascii="Times New Roman" w:hAnsi="Times New Roman" w:cs="Times New Roman"/>
          <w:sz w:val="26"/>
          <w:szCs w:val="26"/>
          <w:highlight w:val="yellow"/>
        </w:rPr>
        <w:t xml:space="preserve">- Trường hợp có đầu tư XDCB dở dang: đánh giá </w:t>
      </w:r>
      <w:r>
        <w:rPr>
          <w:rFonts w:ascii="Times New Roman" w:hAnsi="Times New Roman" w:cs="Times New Roman"/>
          <w:sz w:val="26"/>
          <w:szCs w:val="26"/>
          <w:highlight w:val="yellow"/>
        </w:rPr>
        <w:t xml:space="preserve">tiến độ thực hiện so với kế hoạch (tổng mức đầu tư của từng dự án đang thực hiện, nguồn vốn kế hoạch cho từng dự án, kế hoạch tham gia vốn đối ứng trong năm theo từng dự án, thực tế tham gia vốn đối ứng theo từng dự án tại thời điểm lập báo cáo tài chính).</w:t>
      </w:r>
      <w:r>
        <w:rPr>
          <w:sz w:val="26"/>
          <w:szCs w:val="26"/>
        </w:rPr>
      </w:r>
    </w:p>
    <w:p>
      <w:pPr>
        <w:pStyle w:val="844"/>
        <w:pBdr/>
        <w:spacing w:after="0"/>
        <w:ind w:firstLine="567" w:left="0"/>
        <w:jc w:val="both"/>
        <w:rPr>
          <w:sz w:val="26"/>
          <w:szCs w:val="26"/>
        </w:rPr>
      </w:pPr>
      <w:r>
        <w:rPr>
          <w:rFonts w:ascii="Times New Roman" w:hAnsi="Times New Roman" w:cs="Times New Roman"/>
          <w:sz w:val="26"/>
          <w:szCs w:val="26"/>
        </w:rPr>
        <w:t xml:space="preserve">Tài sản dài hạn của Công ty năm [Năm liền kề -1] là [Tài sản dài hạn:] đồng, đến 31/12/[Năm liền kề] là [Tài sản dài hạn] đồng, chênh lệch [CL Tài sản dài hạn] đồng so với năm trước. Trong đó:</w:t>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Phải thu dài hạn:</w:t>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Phải dài hạn của Công ty năm [Năm liền kề -1] là [Phải thu dài hạn:] đồng, đến 31/12/[Năm liền kề] là [Phải thu dài hạn] đồng, chênh lệch [CL Phải thu dài hạn] đồng so với năm trước.</w:t>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 Tài sản cố định hữu hình:</w:t>
      </w:r>
      <w:r>
        <w:rPr>
          <w:b/>
          <w:sz w:val="26"/>
          <w:szCs w:val="26"/>
        </w:rPr>
      </w:r>
    </w:p>
    <w:p>
      <w:pPr>
        <w:pBdr/>
        <w:spacing/>
        <w:ind w:firstLine="567"/>
        <w:jc w:val="both"/>
        <w:rPr>
          <w:sz w:val="26"/>
          <w:szCs w:val="26"/>
        </w:rPr>
      </w:pPr>
      <w:r>
        <w:rPr>
          <w:rFonts w:ascii="Times New Roman" w:hAnsi="Times New Roman" w:cs="Times New Roman"/>
          <w:sz w:val="26"/>
          <w:szCs w:val="26"/>
        </w:rPr>
        <w:t xml:space="preserve">Nguyên giá tài sản cố định của Công ty số liệu đến cuối</w:t>
      </w:r>
      <w:r>
        <w:rPr>
          <w:rFonts w:ascii="Times New Roman" w:hAnsi="Times New Roman" w:cs="Times New Roman"/>
          <w:sz w:val="26"/>
          <w:szCs w:val="26"/>
        </w:rPr>
        <w:t xml:space="preserve"> năm [Năm liền kề -1] là [Tài sản cố định hữu hình:] đồng, (giá trị hao mòn luỹ kế .......... triệu đồng); đến 31/12/[Năm liền kề] là [Tài sản cố định hữu hình] đồng (giá trị hao mòn luỹ kế là ........ triệu đồng); bao gồm ....</w:t>
      </w:r>
      <w:r>
        <w:rPr>
          <w:sz w:val="26"/>
          <w:szCs w:val="26"/>
        </w:rPr>
      </w:r>
    </w:p>
    <w:p>
      <w:pPr>
        <w:pBdr/>
        <w:spacing/>
        <w:ind w:firstLine="567"/>
        <w:jc w:val="both"/>
        <w:rPr>
          <w:sz w:val="26"/>
          <w:szCs w:val="26"/>
        </w:rPr>
      </w:pPr>
      <w:r>
        <w:rPr>
          <w:rFonts w:ascii="Times New Roman" w:hAnsi="Times New Roman" w:cs="Times New Roman"/>
          <w:sz w:val="26"/>
          <w:szCs w:val="26"/>
        </w:rPr>
        <w:t xml:space="preserve">Chi tiết tài sản cố định theo Bảng theo dõi và tính khấu hao TSCĐ năm [Năm liền kề].</w:t>
      </w:r>
      <w:r>
        <w:rPr>
          <w:sz w:val="26"/>
          <w:szCs w:val="26"/>
        </w:rPr>
      </w:r>
    </w:p>
    <w:p>
      <w:pPr>
        <w:pBdr/>
        <w:spacing/>
        <w:ind w:firstLine="567"/>
        <w:jc w:val="both"/>
        <w:rPr>
          <w:sz w:val="26"/>
          <w:szCs w:val="26"/>
        </w:rPr>
      </w:pPr>
      <w:r>
        <w:rPr>
          <w:rFonts w:ascii="Times New Roman" w:hAnsi="Times New Roman" w:cs="Times New Roman"/>
          <w:sz w:val="26"/>
          <w:szCs w:val="26"/>
        </w:rPr>
        <w:t xml:space="preserve">Đánh giá tình hình trích khấu hao: Công ty thực hiện trích khấu hao đầy đủ theo quy định.</w:t>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đầu tư tài chính dài hạn:</w:t>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 Đánh giá sự biến động của các khoản đầu tư tài chính dài hạn (đầu tư công ty con, liên doanh, liên kết, chứng khoán dài hạn...)</w:t>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Đánh giá hiệu quả của từng khoản đầu tư (thông qua k</w:t>
      </w:r>
      <w:r>
        <w:rPr>
          <w:rFonts w:ascii="Times New Roman" w:hAnsi="Times New Roman" w:cs="Times New Roman"/>
          <w:sz w:val="26"/>
          <w:szCs w:val="26"/>
          <w:highlight w:val="yellow"/>
        </w:rPr>
        <w:t xml:space="preserve">hoản lợi tức hàng năm của các khoản đầu tư). Trường hợp đầu tư không hiệu quả, cần xem xét yếu tố trích lập dự phòng cho các khoản đầu tư tài chính dài hạn (có thể lập bảng bổ sung một số thông tin liên quan đến doanh thu, lợi nhuận của từng khoản đầu tư).</w:t>
      </w:r>
      <w:r>
        <w:rPr>
          <w:sz w:val="26"/>
          <w:szCs w:val="26"/>
        </w:rPr>
      </w:r>
    </w:p>
    <w:p>
      <w:pPr>
        <w:pBdr/>
        <w:spacing/>
        <w:ind w:firstLine="567"/>
        <w:jc w:val="both"/>
        <w:rPr>
          <w:sz w:val="26"/>
          <w:szCs w:val="26"/>
        </w:rPr>
      </w:pPr>
      <w:r>
        <w:rPr>
          <w:rFonts w:ascii="Times New Roman" w:hAnsi="Times New Roman" w:cs="Times New Roman"/>
          <w:sz w:val="26"/>
          <w:szCs w:val="26"/>
        </w:rPr>
        <w:t xml:space="preserve">Đầu tư tài chính dài hạn của Công ty đến cuối năm [Năm liền kề -1] là [Đầu tư tài chính dài hạn:] đồng, đến 31/12/[Năm liền kề] là [Đầu tư tài chính dài hạn] đồng, chênh lệch [CL Đầu tư tài chính dài hạn] đồng so với năm trước. Bao gồm .....</w:t>
      </w:r>
      <w:r>
        <w:rPr>
          <w:sz w:val="26"/>
          <w:szCs w:val="26"/>
        </w:rPr>
      </w:r>
    </w:p>
    <w:p>
      <w:pPr>
        <w:pBdr/>
        <w:spacing/>
        <w:ind w:firstLine="567"/>
        <w:jc w:val="both"/>
        <w:rPr>
          <w:sz w:val="26"/>
          <w:szCs w:val="26"/>
        </w:rPr>
      </w:pPr>
      <w:r>
        <w:rPr>
          <w:rFonts w:ascii="Times New Roman" w:hAnsi="Times New Roman" w:cs="Times New Roman"/>
          <w:b/>
          <w:bCs/>
          <w:sz w:val="26"/>
          <w:szCs w:val="26"/>
        </w:rPr>
        <w:t xml:space="preserve">- Tài sản dài hạn khác:</w:t>
      </w:r>
      <w:r>
        <w:rPr>
          <w:sz w:val="26"/>
          <w:szCs w:val="26"/>
        </w:rPr>
      </w:r>
    </w:p>
    <w:p>
      <w:pPr>
        <w:pBdr/>
        <w:spacing/>
        <w:ind w:firstLine="567"/>
        <w:jc w:val="both"/>
        <w:rPr>
          <w:sz w:val="26"/>
          <w:szCs w:val="26"/>
        </w:rPr>
      </w:pPr>
      <w:r>
        <w:rPr>
          <w:rFonts w:ascii="Times New Roman" w:hAnsi="Times New Roman" w:cs="Times New Roman"/>
          <w:sz w:val="26"/>
          <w:szCs w:val="26"/>
        </w:rPr>
        <w:t xml:space="preserve">Số liệu tại 31/12/[Năm liền kề -1] là [Tài sản dài hạn khác:] đồng, đến 31/12/[Năm liền kề] là [Tài sản dài hạn khác] đồng, chênh lệch [CL Tài sản dài hạn khác] đồng so với năm trước</w:t>
      </w:r>
      <w:r>
        <w:rPr>
          <w:sz w:val="26"/>
          <w:szCs w:val="26"/>
        </w:rPr>
      </w:r>
    </w:p>
    <w:p>
      <w:pPr>
        <w:pBdr/>
        <w:spacing/>
        <w:ind w:firstLine="567"/>
        <w:jc w:val="both"/>
        <w:rPr>
          <w:rFonts w:eastAsia="Calibri"/>
          <w:b/>
          <w:sz w:val="26"/>
          <w:szCs w:val="26"/>
        </w:rPr>
      </w:pPr>
      <w:r>
        <w:rPr>
          <w:b/>
          <w:bCs/>
          <w:sz w:val="26"/>
          <w:szCs w:val="26"/>
        </w:rPr>
        <w:t xml:space="preserve">2.2. Về nguồn vốn:</w:t>
      </w:r>
      <w:r>
        <w:rPr>
          <w:rFonts w:eastAsia="Calibri"/>
          <w:b/>
          <w:sz w:val="26"/>
          <w:szCs w:val="26"/>
        </w:rPr>
      </w:r>
    </w:p>
    <w:p>
      <w:pPr>
        <w:pBdr/>
        <w:spacing/>
        <w:ind w:firstLine="567"/>
        <w:jc w:val="both"/>
        <w:rPr>
          <w:rFonts w:eastAsia="Calibri"/>
          <w:b/>
          <w:sz w:val="26"/>
          <w:szCs w:val="26"/>
        </w:rPr>
      </w:pPr>
      <w:r>
        <w:rPr>
          <w:b/>
          <w:bCs/>
          <w:sz w:val="26"/>
          <w:szCs w:val="26"/>
        </w:rPr>
        <w:t xml:space="preserve">- Nợ phải trả</w:t>
      </w:r>
      <w:r>
        <w:rPr>
          <w:rFonts w:eastAsia="Calibri"/>
          <w:b/>
          <w:sz w:val="26"/>
          <w:szCs w:val="26"/>
        </w:rPr>
      </w:r>
    </w:p>
    <w:p>
      <w:pPr>
        <w:pBdr/>
        <w:spacing/>
        <w:ind w:firstLine="567"/>
        <w:jc w:val="both"/>
        <w:rPr>
          <w:b/>
          <w:sz w:val="26"/>
          <w:szCs w:val="26"/>
        </w:rPr>
      </w:pPr>
      <w:r>
        <w:rPr>
          <w:rFonts w:ascii="Times New Roman" w:hAnsi="Times New Roman" w:cs="Times New Roman"/>
          <w:b/>
          <w:bCs/>
          <w:sz w:val="26"/>
          <w:szCs w:val="26"/>
        </w:rPr>
        <w:t xml:space="preserve">+) Phải trả người bán ngắn hạn:</w:t>
      </w:r>
      <w:r>
        <w:rPr>
          <w:b/>
          <w:sz w:val="26"/>
          <w:szCs w:val="26"/>
        </w:rPr>
      </w:r>
    </w:p>
    <w:p>
      <w:pPr>
        <w:pBdr/>
        <w:spacing/>
        <w:ind w:firstLine="567"/>
        <w:jc w:val="both"/>
        <w:rPr>
          <w:rFonts w:eastAsia="Calibri"/>
          <w:sz w:val="26"/>
          <w:szCs w:val="26"/>
        </w:rPr>
      </w:pPr>
      <w:r>
        <w:rPr>
          <w:sz w:val="26"/>
          <w:szCs w:val="26"/>
          <w:highlight w:val="yellow"/>
        </w:rPr>
        <w:t xml:space="preserve">Đánh giá sự tăng/giảm so với thời điểm cùng kỳ, phân tích nguyên nhân; đánh giá khả năng chiếm dụng vốn; xác định mức độ uy tín của khách hàng</w:t>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Phải trả người bán ngắn hạn đến cuối năm [Năm liền kề -1] là [Phải trả người bán ngắn hạn:] đồng, đến 31/12/[Năm liền kề] là [Phải trả người bán ngắn hạn] đồng, chênh lệch [CL Phải trả người bán ngắn hạn] đồng so với năm trước. </w:t>
      </w:r>
      <w:r>
        <w:rPr>
          <w:sz w:val="26"/>
          <w:szCs w:val="26"/>
        </w:rPr>
      </w:r>
    </w:p>
    <w:p>
      <w:pPr>
        <w:pBdr/>
        <w:spacing/>
        <w:ind w:firstLine="567"/>
        <w:jc w:val="both"/>
        <w:rPr>
          <w:sz w:val="26"/>
          <w:szCs w:val="26"/>
        </w:rPr>
      </w:pPr>
      <w:r>
        <w:rPr>
          <w:rFonts w:ascii="Times New Roman" w:hAnsi="Times New Roman" w:cs="Times New Roman"/>
          <w:sz w:val="26"/>
          <w:szCs w:val="26"/>
        </w:rPr>
        <w:t xml:space="preserve">Chi tiết một số khách hàng lớn:</w:t>
      </w:r>
      <w:r>
        <w:rPr>
          <w:sz w:val="26"/>
          <w:szCs w:val="26"/>
        </w:rPr>
      </w:r>
    </w:p>
    <w:p>
      <w:pPr>
        <w:pBdr/>
        <w:spacing/>
        <w:ind/>
        <w:jc w:val="right"/>
        <w:rPr>
          <w:i/>
          <w:sz w:val="26"/>
          <w:szCs w:val="26"/>
        </w:rPr>
      </w:pPr>
      <w:r>
        <w:rPr>
          <w:rFonts w:ascii="Times New Roman" w:hAnsi="Times New Roman" w:cs="Times New Roman"/>
          <w:i/>
          <w:iCs/>
          <w:sz w:val="26"/>
          <w:szCs w:val="26"/>
        </w:rPr>
        <w:t xml:space="preserve">Đơn vị: đồng </w:t>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Khách hàng</w:t>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 -1]</w:t>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w:t>
            </w:r>
            <w:r>
              <w:rPr>
                <w:b/>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w:t>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Các khách hàng khác</w:t>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Các khoản phải trả chủ yếu là ......</w:t>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Người mua trả tiền trước ngắn hạn:</w:t>
      </w:r>
      <w:r>
        <w:rPr>
          <w:b/>
          <w:sz w:val="26"/>
          <w:szCs w:val="26"/>
        </w:rPr>
      </w:r>
    </w:p>
    <w:p>
      <w:pPr>
        <w:pBdr/>
        <w:spacing/>
        <w:ind w:firstLine="567"/>
        <w:jc w:val="both"/>
        <w:rPr>
          <w:sz w:val="26"/>
          <w:szCs w:val="26"/>
        </w:rPr>
      </w:pPr>
      <w:r>
        <w:rPr>
          <w:rFonts w:ascii="Times New Roman" w:hAnsi="Times New Roman" w:cs="Times New Roman"/>
          <w:sz w:val="26"/>
          <w:szCs w:val="26"/>
        </w:rPr>
        <w:t xml:space="preserve">Người mua trả t</w:t>
      </w:r>
      <w:r>
        <w:rPr>
          <w:rFonts w:ascii="Times New Roman" w:hAnsi="Times New Roman" w:cs="Times New Roman"/>
          <w:sz w:val="26"/>
          <w:szCs w:val="26"/>
        </w:rPr>
        <w:t xml:space="preserve">iền trước ngắn hạn cuối năm [Năm liền kề -1] là [Người mua trả tiền trước ngắn hạn:] đồng, đến 31/12/[Năm liền kề] là [Người mua trả tiền trước ngắn hạn] đồng, chênh lệch [CL Người mua trả tiền trước ngắn hạn] đồng so với năm trước. Bao gồm .....</w:t>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Thuế và các khoản phải nộp nhà nước:</w:t>
      </w:r>
      <w:r>
        <w:rPr>
          <w:b/>
          <w:sz w:val="26"/>
          <w:szCs w:val="26"/>
        </w:rPr>
      </w:r>
    </w:p>
    <w:p>
      <w:pPr>
        <w:pBdr/>
        <w:spacing/>
        <w:ind w:firstLine="567"/>
        <w:jc w:val="both"/>
        <w:rPr>
          <w:sz w:val="26"/>
          <w:szCs w:val="26"/>
        </w:rPr>
      </w:pPr>
      <w:r>
        <w:rPr>
          <w:rFonts w:ascii="Times New Roman" w:hAnsi="Times New Roman" w:cs="Times New Roman"/>
          <w:sz w:val="26"/>
          <w:szCs w:val="26"/>
        </w:rPr>
        <w:t xml:space="preserve">Năm [Năm liền kề -1] thuế và các khoản nộp nhà n</w:t>
      </w:r>
      <w:r>
        <w:rPr>
          <w:rFonts w:ascii="Times New Roman" w:hAnsi="Times New Roman" w:cs="Times New Roman"/>
          <w:sz w:val="26"/>
          <w:szCs w:val="26"/>
        </w:rPr>
        <w:t xml:space="preserve">ước là [Thuế và các khoản phải nộp nhà nước:] đồng, năm [Năm liền kề] là [Thuế và các khoản phải nộp nhà nước] đồng, chênh lệch [CL Thuế và các khoản phải nộp nhà nước] đồng so với năm trước, chủ yếu là khoản phải nộp thuế GTGT và thuế TNDN.</w:t>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và nợ thuê tài chính ngắn hạn:</w:t>
      </w:r>
      <w:r>
        <w:rPr>
          <w:b/>
          <w:sz w:val="26"/>
          <w:szCs w:val="26"/>
        </w:rPr>
      </w:r>
    </w:p>
    <w:p>
      <w:pPr>
        <w:pBdr/>
        <w:spacing/>
        <w:ind w:firstLine="567"/>
        <w:jc w:val="both"/>
        <w:rPr>
          <w:rFonts w:eastAsia="Calibri"/>
          <w:sz w:val="26"/>
          <w:szCs w:val="26"/>
        </w:rPr>
      </w:pPr>
      <w:r>
        <w:rPr>
          <w:sz w:val="26"/>
          <w:szCs w:val="26"/>
          <w:highlight w:val="yellow"/>
        </w:rPr>
        <w:t xml:space="preserve">Đánh giá tình hình tăng/giảm so với các thời điểm, phân tích nguyên nhân. Nêu rõ các khoản nợ vay của DN tại các Tổ chức tín dụng và cá nhân, tổ chức khác (số tiền vay, hạn trả, lãi suất). So sánh tỷ trọng cấp tín dụng của Agribank/TCTD khác (nếu có).</w:t>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Số liệu năm [Năm liền kề -1] là [Vay và nợ thuê tài chính ngắn hạn:] đồng, đến 31/12/[Năm liền kề] là [Vay và nợ thuê tài chính ngắn hạn] đồng, chênh lệch [CL Vay và nợ thuê tài chính ngắn hạn] đồng so với năm trước. Bao gồm ..... </w:t>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và nợ thuê tài chính dài hạn: </w:t>
      </w:r>
      <w:r>
        <w:rPr>
          <w:b/>
          <w:sz w:val="26"/>
          <w:szCs w:val="26"/>
        </w:rPr>
      </w:r>
    </w:p>
    <w:p>
      <w:pPr>
        <w:pBdr/>
        <w:spacing/>
        <w:ind w:firstLine="567"/>
        <w:jc w:val="both"/>
        <w:rPr>
          <w:rFonts w:eastAsia="Calibri"/>
          <w:sz w:val="26"/>
          <w:szCs w:val="26"/>
        </w:rPr>
      </w:pPr>
      <w:r>
        <w:rPr>
          <w:sz w:val="26"/>
          <w:szCs w:val="26"/>
          <w:highlight w:val="yellow"/>
        </w:rPr>
        <w:t xml:space="preserve">Đánh giá tình hình vay nợ dài hạn của các TCTD, của bên thứ ba.</w:t>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Số liệu năm [Năm liền kề -1] là [Vay và nợ thuê tài chính dài hạn:] đồng, năm [Năm liền kề] là [Vay và nợ thuê tài chính dài hạn] đồng, chênh lệch [CL Vay và nợ thuê tài chính dài hạn] đồng so với năm trước. Bao gồm .... </w:t>
      </w:r>
      <w:r>
        <w:rPr>
          <w:sz w:val="26"/>
          <w:szCs w:val="26"/>
        </w:rPr>
      </w:r>
    </w:p>
    <w:p>
      <w:pPr>
        <w:pBdr/>
        <w:spacing/>
        <w:ind w:firstLine="567"/>
        <w:jc w:val="both"/>
        <w:rPr>
          <w:rFonts w:eastAsia="Calibri"/>
          <w:b/>
          <w:sz w:val="26"/>
          <w:szCs w:val="26"/>
        </w:rPr>
      </w:pPr>
      <w:r>
        <w:rPr>
          <w:b/>
          <w:bCs/>
          <w:sz w:val="26"/>
          <w:szCs w:val="26"/>
        </w:rPr>
        <w:t xml:space="preserve">- Nguồn vốn chủ sở hữu</w:t>
      </w:r>
      <w:r>
        <w:rPr>
          <w:rFonts w:eastAsia="Calibri"/>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Đánh giá tình hình tăng/giảm nguồn vốn chủ sở hữu của DN so với các năm trước liền kề, tốc độ tăng/ giảm nguồn vốn chủ sở hữu.</w:t>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Đối chi</w:t>
      </w:r>
      <w:r>
        <w:rPr>
          <w:rFonts w:ascii="Times New Roman" w:hAnsi="Times New Roman" w:cs="Times New Roman"/>
          <w:sz w:val="26"/>
          <w:szCs w:val="26"/>
          <w:highlight w:val="yellow"/>
        </w:rPr>
        <w:t xml:space="preserve">ếu vốn điều lệ hạch toán trên báo cáo tài chính với vốn điều lệ trên giấy chứng nhận đăng ký kinh doanh và giấy chứng nhận góp vốn/sổ cổ đông, các chứng từ kế toán liên quan đến góp vốn để xác định DN đã thực hiện góp đủ vốn điều lệ theo quy định hay chưa?</w:t>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việc hạch toán nguồn vốn chủ sở hữu trên bảng cân đối kế toán có đúng quy định hay không, lưu ý các nguồn vốn “khác”, “vay dài hạn cổ đông”…</w:t>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nguồn vốn chủ sở hữu thực tham gia vào hoạt động kinh doanh như vốn điều lệ chưa thực góp mà hạch toán có “nguồn vốn chủ sở hữu” và ghi “nợ phải thu”; nguồn vốn chủ sở hữu đầu tư cho công ty con, việc “sở hữu chéo”;</w:t>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Đánh giá việc định giá tài sản khi góp vốn bằng tài sản, định giá lại tài sản để tăng vốn chủ sở hữu.</w:t>
      </w:r>
      <w:r>
        <w:rPr>
          <w:sz w:val="26"/>
          <w:szCs w:val="28"/>
        </w:rPr>
      </w:r>
    </w:p>
    <w:p>
      <w:pPr>
        <w:pBdr/>
        <w:spacing/>
        <w:ind w:firstLine="567"/>
        <w:jc w:val="both"/>
        <w:rPr>
          <w:sz w:val="26"/>
          <w:szCs w:val="26"/>
        </w:rPr>
      </w:pPr>
      <w:r>
        <w:rPr>
          <w:rFonts w:ascii="Times New Roman" w:hAnsi="Times New Roman" w:cs="Times New Roman"/>
          <w:sz w:val="26"/>
          <w:szCs w:val="26"/>
        </w:rPr>
        <w:t xml:space="preserve">+ Vốn đầu tư của chủ sở hữu năm [Năm liền kề -1] là [Vốn góp của chủ sở hữu:] đồng, năm [Năm liền kề] là [Vốn góp của chủ sở hữu] đồng.</w:t>
      </w:r>
      <w:r>
        <w:rPr>
          <w:sz w:val="26"/>
          <w:szCs w:val="26"/>
        </w:rPr>
      </w:r>
    </w:p>
    <w:p>
      <w:pPr>
        <w:pBdr/>
        <w:spacing/>
        <w:ind w:firstLine="567"/>
        <w:jc w:val="both"/>
        <w:rPr>
          <w:sz w:val="26"/>
          <w:szCs w:val="26"/>
        </w:rPr>
      </w:pPr>
      <w:r>
        <w:rPr>
          <w:rFonts w:ascii="Times New Roman" w:hAnsi="Times New Roman" w:cs="Times New Roman"/>
          <w:sz w:val="26"/>
          <w:szCs w:val="26"/>
        </w:rPr>
        <w:t xml:space="preserve">+ Theo đăng ký kinh doanh, Vốn điều lệ của doanh nghiệp là [Vốn điều lệ] đồng. Như vậy đến 31/12/[Năm liền kề] các cổ đông công ty đã thực hiện việc góp vốn được ........ % vốn điều lệ theo đăng ký kinh doanh.</w:t>
      </w:r>
      <w:r>
        <w:rPr>
          <w:sz w:val="26"/>
          <w:szCs w:val="26"/>
        </w:rPr>
      </w:r>
    </w:p>
    <w:p>
      <w:pPr>
        <w:pBdr/>
        <w:spacing/>
        <w:ind w:firstLine="567"/>
        <w:jc w:val="both"/>
        <w:rPr>
          <w:sz w:val="26"/>
          <w:szCs w:val="26"/>
        </w:rPr>
      </w:pPr>
      <w:r>
        <w:rPr>
          <w:rFonts w:ascii="Times New Roman" w:hAnsi="Times New Roman" w:cs="Times New Roman"/>
          <w:sz w:val="26"/>
          <w:szCs w:val="26"/>
        </w:rPr>
        <w:t xml:space="preserve">+ Lợi nhuậ</w:t>
      </w:r>
      <w:r>
        <w:rPr>
          <w:rFonts w:ascii="Times New Roman" w:hAnsi="Times New Roman" w:cs="Times New Roman"/>
          <w:sz w:val="26"/>
          <w:szCs w:val="26"/>
        </w:rPr>
        <w:t xml:space="preserve">n sau thuế chưa phân phối của Công ty năm [Năm liền kề -1] là [Lợi nhuận sau thuế chưa phân phối:] đồng, đến 31/12/[Năm liền kề] là [Lợi nhuận sau thuế chưa phân phối] đồng, chênh lệch [CL Lợi nhuận sau thuế chưa phân phối] đồng so với năm trước.</w:t>
      </w:r>
      <w:r>
        <w:rPr>
          <w:sz w:val="26"/>
          <w:szCs w:val="26"/>
        </w:rPr>
      </w:r>
    </w:p>
    <w:p>
      <w:pPr>
        <w:pBdr/>
        <w:spacing/>
        <w:ind w:firstLine="567"/>
        <w:jc w:val="both"/>
        <w:rPr>
          <w:rFonts w:eastAsia="Calibri"/>
          <w:b/>
          <w:bCs/>
          <w:sz w:val="26"/>
          <w:szCs w:val="26"/>
        </w:rPr>
      </w:pPr>
      <w:r>
        <w:rPr>
          <w:b/>
          <w:bCs/>
          <w:sz w:val="26"/>
          <w:szCs w:val="26"/>
        </w:rPr>
        <w:t xml:space="preserve">3. Kết quả hoạt động SXKD:</w:t>
      </w:r>
      <w:r>
        <w:rPr>
          <w:rFonts w:eastAsia="Calibri"/>
          <w:b/>
          <w:bCs/>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Lập biểu thống kê doanh thu, chi phí, lợi nhuận của 2 năm gần nhất và/hoặc thời điểm quý...); so sánh tăng/giảm so với các thời điểm trước cả về giá trị, tỷ lệ tăng, giảm.</w:t>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Phân tích số liệu doanh thu để đánh giá hiệu </w:t>
      </w:r>
      <w:r>
        <w:rPr>
          <w:rFonts w:ascii="Times New Roman" w:hAnsi="Times New Roman" w:cs="Times New Roman"/>
          <w:sz w:val="26"/>
          <w:szCs w:val="26"/>
          <w:highlight w:val="yellow"/>
        </w:rPr>
        <w:t xml:space="preserve">quả kinh doanh của DN: so sánh các khoản mục chi phí như chi phí khấu hao (không tính đúng, tính đủ khấu hao), lãi vay (chưa hạch toán đầy đủ các khoản lãi vay phải trả trong năm tài chính vào báo cáo kết quả sản xuất kinh doanh mà treo trên tài khoản các </w:t>
      </w:r>
      <w:r>
        <w:rPr>
          <w:rFonts w:ascii="Times New Roman" w:hAnsi="Times New Roman" w:cs="Times New Roman"/>
          <w:sz w:val="26"/>
          <w:szCs w:val="26"/>
          <w:highlight w:val="yellow"/>
        </w:rPr>
        <w:t xml:space="preserve">khoản phải trả), trích lập dự phòng (không thực hiện trích lập dự phòng đối với các khản phải thu khó đòi, hàng hóa tồn kho bị giảm giá, kém chất lượng); giá vốn với doanh thu tại các thời điểm để đánh giá tính hợp lý của các chỉ tiêu. Phân tích kết quả ki</w:t>
      </w:r>
      <w:r>
        <w:rPr>
          <w:rFonts w:ascii="Times New Roman" w:hAnsi="Times New Roman" w:cs="Times New Roman"/>
          <w:sz w:val="26"/>
          <w:szCs w:val="26"/>
          <w:highlight w:val="yellow"/>
        </w:rPr>
        <w:t xml:space="preserve">nh doanh theo mặt hàng, ngành hàng chủ yếu; diễn biến doanh thu theo từng thị trường (xuất khẩu, nội địa)  để đánh giá điểm mạnh, điểm yếu dẫn đến kết quả hoạt động kinh doanh tốt hay xấu làm cơ sở dự báo khả năng hoạt động kinh doanh kỳ tiếp theo.</w:t>
      </w:r>
      <w:r>
        <w:rPr>
          <w:sz w:val="26"/>
          <w:szCs w:val="28"/>
        </w:rPr>
      </w:r>
    </w:p>
    <w:p>
      <w:pPr>
        <w:pBdr/>
        <w:spacing/>
        <w:ind/>
        <w:jc w:val="both"/>
        <w:rPr>
          <w:rFonts w:eastAsia="Calibri"/>
          <w:b/>
          <w:bCs/>
          <w:color w:val="000000"/>
          <w:sz w:val="26"/>
          <w:szCs w:val="26"/>
        </w:rPr>
      </w:pPr>
      <w:r>
        <w:rPr>
          <w:rFonts w:eastAsia="Calibri"/>
          <w:b/>
          <w:bCs/>
          <w:color w:val="000000"/>
          <w:sz w:val="26"/>
          <w:szCs w:val="26"/>
        </w:rPr>
      </w:r>
      <w:r>
        <w:rPr>
          <w:rFonts w:eastAsia="Calibri"/>
          <w:b/>
          <w:bCs/>
          <w:color w:val="000000"/>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 -1]</w:t>
            </w:r>
            <w:r>
              <w:rPr>
                <w:b/>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w:t>
            </w:r>
            <w:r>
              <w:rPr>
                <w:b/>
              </w:rP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 [Năm liền kề]-[Năm liền kề -1]</w:t>
            </w:r>
            <w:r>
              <w:rPr>
                <w:b/>
                <w:bCs/>
              </w:rP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Tỷ lệ %</w:t>
            </w:r>
            <w:r>
              <w:rPr>
                <w:b/>
                <w:bCs/>
              </w:rP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Doanh thu bán hàng và cung cấp dịch vụ</w:t>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[Doanh thu bán hàng và cung cấp dịch vụ:]</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[Doanh thu bán hàng và cung cấp dịch vụ]</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[CL Doanh thu bán hàng và cung cấp dịch vụ]</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Doanh thu thuần về bán hàng và cung cấp dịch vụ</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[Doanh thu thuần:]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[Doanh thu thuần]</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[CL Doanh thu thuần]</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[CL Giá vốn hàng bán]</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Tổng lợi nhuận sau thuế</w:t>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[Lợi nhuận sau thuế:]</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[Lợi nhuận sau thuế]</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[CL Lợi nhuận sau thuế]</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bl>
    <w:p>
      <w:pPr>
        <w:pBdr/>
        <w:spacing/>
        <w:ind w:firstLine="567"/>
        <w:jc w:val="both"/>
        <w:rPr>
          <w:bCs/>
          <w:sz w:val="26"/>
          <w:szCs w:val="26"/>
        </w:rPr>
      </w:pPr>
      <w:r>
        <w:rPr>
          <w:rFonts w:ascii="Times New Roman" w:hAnsi="Times New Roman" w:cs="Times New Roman"/>
          <w:sz w:val="26"/>
          <w:szCs w:val="26"/>
        </w:rPr>
        <w:t xml:space="preserve">Doanh thu năm [Năm liền kề] của công ty đạt [Doanh thu bán hàng và cung cấp dịch vụ] đồng, chênh lệch so với năm trước [CL Doanh thu bán hàng và cung cấp dịch vụ] đồng.</w:t>
      </w:r>
      <w:r>
        <w:rPr>
          <w:bCs/>
          <w:sz w:val="26"/>
          <w:szCs w:val="26"/>
        </w:rPr>
      </w:r>
    </w:p>
    <w:p>
      <w:pPr>
        <w:pBdr/>
        <w:spacing/>
        <w:ind w:firstLine="567"/>
        <w:jc w:val="both"/>
        <w:rPr>
          <w:sz w:val="26"/>
          <w:szCs w:val="28"/>
        </w:rPr>
      </w:pPr>
      <w:r>
        <w:rPr>
          <w:rFonts w:ascii="Times New Roman" w:hAnsi="Times New Roman" w:cs="Times New Roman"/>
          <w:sz w:val="26"/>
          <w:szCs w:val="26"/>
        </w:rPr>
        <w:t xml:space="preserve">Đánh giá kết quả sản xuất kinh doanh của Công ty trong các năm gần đây: ......................</w:t>
      </w:r>
      <w:r>
        <w:rPr>
          <w:sz w:val="26"/>
          <w:szCs w:val="28"/>
        </w:rPr>
      </w:r>
    </w:p>
    <w:p>
      <w:pPr>
        <w:pBdr/>
        <w:spacing/>
        <w:ind w:firstLine="567"/>
        <w:jc w:val="both"/>
        <w:rPr>
          <w:bCs/>
          <w:sz w:val="26"/>
          <w:szCs w:val="26"/>
        </w:rPr>
      </w:pPr>
      <w:r>
        <w:rPr>
          <w:rFonts w:ascii="Times New Roman" w:hAnsi="Times New Roman" w:cs="Times New Roman"/>
          <w:sz w:val="26"/>
          <w:szCs w:val="26"/>
        </w:rPr>
        <w:t xml:space="preserve">Các chỉ tiêu giá vốn hàng bán, chi phí quản lý doanh nghiệp, lợi nhuận gộp trên doanh thu ổn định qua các năm điều này cho thấy hoạt động sản xuất kinh doanh của doanh nghiệp ổn định qua các năm.</w:t>
      </w:r>
      <w:r>
        <w:rPr>
          <w:bCs/>
          <w:sz w:val="26"/>
          <w:szCs w:val="26"/>
        </w:rPr>
      </w:r>
    </w:p>
    <w:p>
      <w:pPr>
        <w:pBdr/>
        <w:spacing/>
        <w:ind w:firstLine="567"/>
        <w:jc w:val="both"/>
        <w:rPr>
          <w:bCs/>
          <w:sz w:val="26"/>
          <w:szCs w:val="26"/>
        </w:rPr>
      </w:pPr>
      <w:r>
        <w:rPr>
          <w:rFonts w:ascii="Times New Roman" w:hAnsi="Times New Roman" w:cs="Times New Roman"/>
          <w:sz w:val="26"/>
          <w:szCs w:val="26"/>
        </w:rPr>
        <w:t xml:space="preserve">Năm [Năm liền kề] lợi nhuận sau thuế của Công ty đạt [Lợi nhuận sau thuế] đồng, tăng/giảm [CL Lợi nhuận sau thuế] đồng so với năm trước.</w:t>
      </w:r>
      <w:r>
        <w:rPr>
          <w:bCs/>
          <w:sz w:val="26"/>
          <w:szCs w:val="26"/>
        </w:rPr>
      </w:r>
    </w:p>
    <w:p>
      <w:pPr>
        <w:pBdr/>
        <w:spacing/>
        <w:ind w:firstLine="567"/>
        <w:jc w:val="both"/>
        <w:rPr>
          <w:rFonts w:eastAsia="Calibri"/>
          <w:b/>
          <w:bCs/>
          <w:sz w:val="26"/>
          <w:szCs w:val="26"/>
        </w:rPr>
      </w:pPr>
      <w:r>
        <w:rPr>
          <w:b/>
          <w:bCs/>
          <w:sz w:val="26"/>
          <w:szCs w:val="26"/>
        </w:rPr>
        <w:t xml:space="preserve">4. Các chỉ tiêu tài chính: </w:t>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jc w:val="center"/>
              <w:rPr>
                <w:b/>
                <w:bCs/>
                <w:sz w:val="26"/>
                <w:szCs w:val="26"/>
              </w:rPr>
            </w:pPr>
            <w:r>
              <w:rPr>
                <w:rFonts w:ascii="Times New Roman" w:hAnsi="Times New Roman" w:cs="Times New Roman"/>
                <w:b/>
                <w:bCs/>
                <w:sz w:val="26"/>
                <w:szCs w:val="26"/>
              </w:rPr>
              <w:t xml:space="preserve">CÁC HỆ SỐ TÀI CHÍNH</w:t>
            </w:r>
            <w:r>
              <w:rPr>
                <w:b/>
                <w:bCs/>
                <w:sz w:val="26"/>
                <w:szCs w:val="26"/>
              </w:rPr>
            </w:r>
          </w:p>
        </w:tc>
        <w:tc>
          <w:tcPr>
            <w:tcBorders>
              <w:top w:val="single" w:color="auto" w:sz="4" w:space="0"/>
              <w:left w:val="single" w:color="auto" w:sz="4" w:space="0"/>
              <w:bottom w:val="single" w:color="auto" w:sz="4" w:space="0"/>
              <w:right w:val="single" w:color="auto" w:sz="4" w:space="0"/>
            </w:tcBorders>
            <w:tcW w:w="1357"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liền kề -1]</w:t>
            </w:r>
            <w:r>
              <w:rPr>
                <w:b/>
                <w:sz w:val="26"/>
                <w:szCs w:val="26"/>
              </w:rPr>
            </w:r>
          </w:p>
        </w:tc>
        <w:tc>
          <w:tcPr>
            <w:tcBorders>
              <w:top w:val="single" w:color="auto" w:sz="4" w:space="0"/>
              <w:left w:val="single" w:color="auto" w:sz="4" w:space="0"/>
              <w:bottom w:val="single" w:color="auto" w:sz="4" w:space="0"/>
              <w:right w:val="single" w:color="auto" w:sz="4" w:space="0"/>
            </w:tcBorders>
            <w:tcW w:w="135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liền kề]</w:t>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1. Các chỉ tiêu về thanh khoản</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ngắn hạn</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[KNTT ngắn hạn:]</w:t>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[KNTT ngắn hạn]</w:t>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nhanh</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[KNTT nhanh:]</w:t>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[KNTT nhanh]</w:t>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b/>
                <w:bCs/>
                <w:iCs/>
                <w:sz w:val="26"/>
                <w:szCs w:val="26"/>
              </w:rPr>
            </w:pPr>
            <w:r>
              <w:rPr>
                <w:rFonts w:ascii="Times New Roman" w:hAnsi="Times New Roman" w:cs="Times New Roman"/>
                <w:b/>
                <w:bCs/>
                <w:sz w:val="26"/>
                <w:szCs w:val="26"/>
              </w:rPr>
              <w:t xml:space="preserve">2. Các chỉ tiêu về hoạt động</w:t>
            </w:r>
            <w:r>
              <w:rPr>
                <w:b/>
                <w:bCs/>
                <w:iCs/>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b/>
                <w:sz w:val="26"/>
                <w:szCs w:val="26"/>
              </w:rPr>
            </w:pPr>
            <w:r>
              <w:rPr>
                <w:b/>
                <w:sz w:val="26"/>
                <w:szCs w:val="26"/>
              </w:rPr>
            </w:r>
            <w:r>
              <w:rPr>
                <w:b/>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b/>
                <w:sz w:val="26"/>
                <w:szCs w:val="26"/>
              </w:rPr>
            </w:pP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các khoản phải thu</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khoản phải thu:]</w:t>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khoản phải thu]</w:t>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Kỳ thu tiền bình quân</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[Kỳ thu tiền bình quân:]</w:t>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[Kỳ thu tiền bình quân]</w:t>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hàng tồn kho</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HTK:]</w:t>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HTK]</w:t>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vốn lưu động </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VLĐ:]</w:t>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VLĐ]</w:t>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3. Các chỉ tiêu cân nợ</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trên vốn chủ sở hữu</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nợ:]</w:t>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nợ]</w:t>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tự tài trợ</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tự tài trợ:]</w:t>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tự tài trợ]</w:t>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ngắn hạn</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nợ vay ngắn hạn:]</w:t>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nợ vay ngắn hạn]</w:t>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4. Các chỉ tiêu sinh lời</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doanh thu</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[Lợi nhuận trên doanh thu:]</w:t>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[Lợi nhuận trên doanh thu]</w:t>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VCSH (ROE)</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[ROE:]</w:t>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[ROE]</w:t>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tổng TS (ROA)</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[ROA:]</w:t>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[ROA]</w:t>
            </w:r>
            <w:r>
              <w:rPr>
                <w:sz w:val="26"/>
                <w:szCs w:val="26"/>
              </w:rPr>
            </w:r>
          </w:p>
        </w:tc>
      </w:tr>
    </w:tbl>
    <w:p>
      <w:pPr>
        <w:pBdr/>
        <w:spacing/>
        <w:ind w:firstLine="567"/>
        <w:jc w:val="both"/>
        <w:rPr>
          <w:b/>
          <w:bCs/>
          <w:sz w:val="26"/>
          <w:szCs w:val="26"/>
        </w:rPr>
      </w:pPr>
      <w:r>
        <w:rPr>
          <w:rFonts w:ascii="Times New Roman" w:hAnsi="Times New Roman" w:cs="Times New Roman"/>
          <w:b/>
          <w:bCs/>
          <w:sz w:val="26"/>
          <w:szCs w:val="26"/>
        </w:rPr>
        <w:t xml:space="preserve">Đánh giá các chỉ số tài chính:</w:t>
      </w:r>
      <w:r>
        <w:rPr>
          <w:b/>
          <w:bCs/>
          <w:sz w:val="26"/>
          <w:szCs w:val="26"/>
        </w:rPr>
      </w:r>
    </w:p>
    <w:p>
      <w:pPr>
        <w:pBdr/>
        <w:spacing/>
        <w:ind w:firstLine="567"/>
        <w:jc w:val="both"/>
        <w:rPr>
          <w:rFonts w:eastAsia="Calibri"/>
          <w:bCs/>
          <w:sz w:val="26"/>
          <w:szCs w:val="22"/>
        </w:rPr>
      </w:pPr>
      <w:r>
        <w:rPr>
          <w:b/>
          <w:bCs/>
          <w:sz w:val="26"/>
          <w:szCs w:val="26"/>
        </w:rPr>
        <w:t xml:space="preserve">- Hệ số thanh toán ngắn hạn = Tài sản ngắn hạn/Nợ ngắn hạn</w:t>
      </w:r>
      <w:r>
        <w:rPr>
          <w:sz w:val="26"/>
          <w:szCs w:val="26"/>
        </w:rPr>
        <w:t xml:space="preserve">: Chỉ tiêu này cho biết khả năng công t</w:t>
      </w:r>
      <w:r>
        <w:rPr>
          <w:sz w:val="26"/>
          <w:szCs w:val="26"/>
        </w:rPr>
        <w:t xml:space="preserve">y có thể đáp ứng các khoản nợ ngắn hạn bằng tài sản lưu động và đầu tư ngắn hạn. Cụ thể năm [Năm liền kề -1] và năm [Năm liền kề] lần lượt là [KNTT ngắn hạn:] và [KNTT ngắn hạn]. Hệ số này lớn hơn 1 chứng tỏ Công ty có khả năng trả nợ ngắn hạn khi đến hạn.</w:t>
      </w:r>
      <w:r>
        <w:rPr>
          <w:rFonts w:eastAsia="Calibri"/>
          <w:bCs/>
          <w:sz w:val="26"/>
          <w:szCs w:val="22"/>
        </w:rPr>
      </w:r>
    </w:p>
    <w:p>
      <w:pPr>
        <w:pBdr/>
        <w:spacing/>
        <w:ind w:firstLine="567"/>
        <w:jc w:val="both"/>
        <w:rPr>
          <w:rFonts w:eastAsia="Calibri"/>
          <w:sz w:val="26"/>
          <w:szCs w:val="26"/>
        </w:rPr>
      </w:pPr>
      <w:r>
        <w:rPr>
          <w:b/>
          <w:bCs/>
          <w:sz w:val="26"/>
          <w:szCs w:val="26"/>
        </w:rPr>
        <w:t xml:space="preserve">- Hệ số thanh toán nhanh = (Tài sản ngắn hạn-Hàng tồn kho)/Nợ ngắn hạn</w:t>
      </w:r>
      <w:r>
        <w:rPr>
          <w:sz w:val="26"/>
          <w:szCs w:val="26"/>
        </w:rPr>
        <w:t xml:space="preserve">: Chỉ t</w:t>
      </w:r>
      <w:r>
        <w:rPr>
          <w:sz w:val="26"/>
          <w:szCs w:val="26"/>
        </w:rPr>
        <w:t xml:space="preserve">iêu này cho biết khả năng thanh khoản đối với các khoản nợ ngắn hạn của khách hàng bằng tài sản lưu động (không kể hàng tồn kho). Cụ thể năm [Năm liền kề -1] và năm [Năm liền kề] lần lượt là [KNTT nhanh:] và [KNTT nhanh]. Hệ số này cho thấy .............. </w:t>
      </w:r>
      <w:r>
        <w:rPr>
          <w:rFonts w:eastAsia="Calibri"/>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các khoản phải thu = Doanh thu thuần/Bình quân khoản phải thu</w:t>
      </w:r>
      <w:r>
        <w:rPr>
          <w:rFonts w:ascii="Times New Roman" w:hAnsi="Times New Roman" w:cs="Times New Roman"/>
          <w:sz w:val="26"/>
          <w:szCs w:val="26"/>
        </w:rPr>
        <w:t xml:space="preserve">: Chỉ tiêu này cho biết trong một kỳ kinh doanh, để đạt được doanh thu thì khách hàng phải thu bao nhiêu vòng, chỉ tiêu này càng lớn chứng tỏ tốc độ thu hồi các khoản phải thu là cao, chỉ số này</w:t>
      </w:r>
      <w:r>
        <w:rPr>
          <w:rFonts w:ascii="Times New Roman" w:hAnsi="Times New Roman" w:cs="Times New Roman"/>
          <w:sz w:val="26"/>
          <w:szCs w:val="26"/>
        </w:rPr>
        <w:t xml:space="preserve"> cho biết chính sách bán hàng trả chậm của công ty hay tình trạng thu hồi nợ của doanh nghiệp. Cụ thể vòng quay phải thu năm [Năm liền kề -1] và năm [Năm liền kề] lần lượt là là [Vòng quay khoản phải thu:] và [Vòng quay khoản phải thu] vòng, cho thấy .....</w:t>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thu tiền bình quân = 365/ Vòng quay các khoản phải thu</w:t>
      </w:r>
      <w:r>
        <w:rPr>
          <w:rFonts w:ascii="Times New Roman" w:hAnsi="Times New Roman" w:cs="Times New Roman"/>
          <w:sz w:val="26"/>
          <w:szCs w:val="26"/>
        </w:rPr>
        <w:t xml:space="preserve">. Chỉ tiêu này cho biết số ngày trung bình mà công ty thu được tiền của khách hàng. Cụ thể kỳ thu tiền bình quân năm [Năm liền kề -1] và năm [Năm liền kề] lần lượt là [Kỳ thu tiền bình quân:] và [Kỳ thu tiền bình quân] ngày, cho thấy .....</w:t>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hàng tồn kho </w:t>
      </w:r>
      <w:r>
        <w:rPr>
          <w:rFonts w:ascii="Times New Roman" w:hAnsi="Times New Roman" w:cs="Times New Roman"/>
          <w:sz w:val="26"/>
          <w:szCs w:val="26"/>
        </w:rPr>
        <w:t xml:space="preserve">= </w:t>
      </w:r>
      <w:r>
        <w:rPr>
          <w:rFonts w:ascii="Times New Roman" w:hAnsi="Times New Roman" w:cs="Times New Roman"/>
          <w:b/>
          <w:bCs/>
          <w:sz w:val="26"/>
          <w:szCs w:val="26"/>
        </w:rPr>
        <w:t xml:space="preserve">Giá vốn hàng bán/Hàng tồn kho bình quân:</w:t>
      </w:r>
      <w:r>
        <w:rPr>
          <w:rFonts w:ascii="Times New Roman" w:hAnsi="Times New Roman" w:cs="Times New Roman"/>
          <w:sz w:val="26"/>
          <w:szCs w:val="26"/>
        </w:rPr>
        <w:t xml:space="preserve"> Chỉ tiêu này cho biết hàng tồn kho quay được bao nhiêu vòng trong một chu kỳ kinh doanh để tạo ra doanh thu. Vòng quay hàng tồn kho năm [Năm liền kề -1] và năm [Năm liền kề] lần lượt là [Vòng quay HTK:] và [Vòng quay HTK], cho thấy ........</w:t>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dự trữ bình quân = 365/Vòng quay hàng tồn kho</w:t>
      </w:r>
      <w:r>
        <w:rPr>
          <w:rFonts w:ascii="Times New Roman" w:hAnsi="Times New Roman" w:cs="Times New Roman"/>
          <w:sz w:val="26"/>
          <w:szCs w:val="26"/>
        </w:rPr>
        <w:t xml:space="preserve">. Chỉ tiêu này cho biết số ngày trung bình mà doanh nghiệp dự trữ hàng tồn kho. </w:t>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vốn lưu động =</w:t>
      </w:r>
      <w:r>
        <w:rPr>
          <w:rFonts w:ascii="Times New Roman" w:hAnsi="Times New Roman" w:cs="Times New Roman"/>
          <w:sz w:val="26"/>
          <w:szCs w:val="26"/>
        </w:rPr>
        <w:t xml:space="preserve"> </w:t>
      </w:r>
      <w:r>
        <w:rPr>
          <w:rFonts w:ascii="Times New Roman" w:hAnsi="Times New Roman" w:cs="Times New Roman"/>
          <w:b/>
          <w:bCs/>
          <w:sz w:val="26"/>
          <w:szCs w:val="26"/>
        </w:rPr>
        <w:t xml:space="preserve">Doanh thu thuần/Tài sản ngắn hạn bình quân</w:t>
      </w:r>
      <w:r>
        <w:rPr>
          <w:rFonts w:ascii="Times New Roman" w:hAnsi="Times New Roman" w:cs="Times New Roman"/>
          <w:sz w:val="26"/>
          <w:szCs w:val="26"/>
        </w:rPr>
        <w:t xml:space="preserve">: Chỉ tiêu này cho biết hiệu suất sử dụng tài sản lưu động c</w:t>
      </w:r>
      <w:r>
        <w:rPr>
          <w:rFonts w:ascii="Times New Roman" w:hAnsi="Times New Roman" w:cs="Times New Roman"/>
          <w:sz w:val="26"/>
          <w:szCs w:val="26"/>
        </w:rPr>
        <w:t xml:space="preserve">ủa khách hàng, cụ thể là cứ 1 đơn vị tài sản lưu động sử dụng trong kì tạo ra bao nhiêu đơn vị doanh thu thuần. Năm [Năm liền kề -1], vòng quay VLĐ của Công ty là [Vòng quay VLĐ:] vòng. Đến năm [Năm liền kề], vòng quay vốn lưu động là [Vòng quay VLĐ] vòng.</w:t>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Hệ số nợ = Nợ phải trả/Tổng Tài sản</w:t>
      </w:r>
      <w:r>
        <w:rPr>
          <w:rFonts w:ascii="Times New Roman" w:hAnsi="Times New Roman" w:cs="Times New Roman"/>
          <w:sz w:val="26"/>
          <w:szCs w:val="26"/>
        </w:rPr>
        <w:t xml:space="preserve">. Chỉ tiêu này cho biết  cứ 1 đồng tài sản thì được hình thành bởi bao nhiêu đồng nợ. Hệ số nợ năm [Năm liền kề -1] và năm [Năm liền kề] lần lượt là [Hệ số nợ:] và [Hệ số nợ], cho thấy ........</w:t>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tự tài trợ </w:t>
      </w:r>
      <w:r>
        <w:rPr>
          <w:rFonts w:ascii="Times New Roman" w:hAnsi="Times New Roman" w:cs="Times New Roman"/>
          <w:sz w:val="26"/>
          <w:szCs w:val="26"/>
        </w:rPr>
        <w:t xml:space="preserve">= </w:t>
      </w:r>
      <w:r>
        <w:rPr>
          <w:rFonts w:ascii="Times New Roman" w:hAnsi="Times New Roman" w:cs="Times New Roman"/>
          <w:b/>
          <w:bCs/>
          <w:sz w:val="26"/>
          <w:szCs w:val="26"/>
        </w:rPr>
        <w:t xml:space="preserve">Nguồn vốn chủ sở hữu/Tổng tài sản.</w:t>
      </w:r>
      <w:r>
        <w:rPr>
          <w:rFonts w:ascii="Times New Roman" w:hAnsi="Times New Roman" w:cs="Times New Roman"/>
          <w:sz w:val="26"/>
          <w:szCs w:val="26"/>
        </w:rPr>
        <w:t xml:space="preserve"> Tỷ suất tự tài trợ xác định khả năn</w:t>
      </w:r>
      <w:r>
        <w:rPr>
          <w:rFonts w:ascii="Times New Roman" w:hAnsi="Times New Roman" w:cs="Times New Roman"/>
          <w:sz w:val="26"/>
          <w:szCs w:val="26"/>
        </w:rPr>
        <w:t xml:space="preserve">g tự bảo đảm về mặt và mức độ độc lập về tài chính của doanh nghiệp, chỉ tiêu này càng cao thì mức độ độc lập về tài chính của công ty càng lớn, tỷ số này qua năm [Năm liền kề -1] và năm [Năm liền kề] lần lượt là [Hệ số tự tài trợ:] và [Hệ số tự tài trợ]. </w:t>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doanh thu = Lợi nhuận thuần từ bán hàng và cung cấp dịch vụ/Doanh thu thuần</w:t>
      </w:r>
      <w:r>
        <w:rPr>
          <w:rFonts w:ascii="Times New Roman" w:hAnsi="Times New Roman" w:cs="Times New Roman"/>
          <w:sz w:val="26"/>
          <w:szCs w:val="26"/>
        </w:rPr>
        <w:t xml:space="preserve">. Chỉ tiêu này cho biết hiệ</w:t>
      </w:r>
      <w:r>
        <w:rPr>
          <w:rFonts w:ascii="Times New Roman" w:hAnsi="Times New Roman" w:cs="Times New Roman"/>
          <w:sz w:val="26"/>
          <w:szCs w:val="26"/>
        </w:rPr>
        <w:t xml:space="preserve">u quả kinh doanh của doanh  nghiệp, cứ 1 đơn vị doanh thu thuần trong kỳ thì tạo ra bao nhiêu đơn vị lợi nhuận gộp. Cụ thể năm [Năm liền kề -1] và năm [Năm liền kề] lần lượt là là [Lợi nhuận trên doanh thu:] và [Lợi nhuận trên doanh thu], cho thấy ........</w:t>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vốn chủ sở hữu (ROE)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thuế/Nguồn vốn chủ sở hữu</w:t>
      </w:r>
      <w:r>
        <w:rPr>
          <w:rFonts w:ascii="Times New Roman" w:hAnsi="Times New Roman" w:cs="Times New Roman"/>
          <w:sz w:val="26"/>
          <w:szCs w:val="26"/>
        </w:rPr>
        <w:t xml:space="preserve">: Chỉ tiêu này cho biết cứ 1 đơn vị vốn chủ sở hữu bình quân đầu tư vào sản xuất kinh doanh trong kỳ thì tạo ra b</w:t>
      </w:r>
      <w:r>
        <w:rPr>
          <w:rFonts w:ascii="Times New Roman" w:hAnsi="Times New Roman" w:cs="Times New Roman"/>
          <w:sz w:val="26"/>
          <w:szCs w:val="26"/>
        </w:rPr>
        <w:t xml:space="preserve">ao nhiêu đơn vị lợi nhuận sau thuế. Chỉ tiêu này càng cao chứng tỏ hiệu quả sử dụng vốn chủ sở hữu của khách hàng càng cao. Cụ thể năm [Năm liền kề -1] và năm [Năm liền kề] lần lượt là là [ROE:] và [ROE], chỉ tiêu này của công ty duy trì tương đối ổn định.</w:t>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ròng trên tài sản (ROA)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thế/Tổng tài sản. </w:t>
      </w:r>
      <w:r>
        <w:rPr>
          <w:rFonts w:ascii="Times New Roman" w:hAnsi="Times New Roman" w:cs="Times New Roman"/>
          <w:sz w:val="26"/>
          <w:szCs w:val="26"/>
        </w:rPr>
        <w:t xml:space="preserve">Chỉ tiêu này cho biết cứ 1 đồng tổng tài sản bình quân sử dụng trong kỳ tạo ra bao nhiêu đồng lợi</w:t>
      </w:r>
      <w:r>
        <w:rPr>
          <w:rFonts w:ascii="Times New Roman" w:hAnsi="Times New Roman" w:cs="Times New Roman"/>
          <w:sz w:val="26"/>
          <w:szCs w:val="26"/>
        </w:rPr>
        <w:t xml:space="preserve"> nhuận sau thuế. Chỉ tiêu này càng cao thể hiện hiệu quả sử dụng tổng tài sản của khách hàng càng cao). Cụ thể năm [Năm liền kề -1] và năm [Năm liền kề] lần lượt là là [ROA:] và [ROA], cho thấy hiệu quả sử dụng tổng tài sản của khách hàng ổn định, hiệu quả</w:t>
      </w:r>
      <w:r>
        <w:rPr>
          <w:bCs/>
          <w:sz w:val="26"/>
          <w:szCs w:val="26"/>
        </w:rPr>
      </w:r>
    </w:p>
    <w:p>
      <w:pPr>
        <w:pBdr/>
        <w:spacing/>
        <w:ind w:firstLine="567"/>
        <w:jc w:val="both"/>
        <w:rPr>
          <w:b/>
          <w:sz w:val="26"/>
          <w:szCs w:val="26"/>
        </w:rPr>
      </w:pPr>
      <w:r>
        <w:rPr>
          <w:rFonts w:ascii="Times New Roman" w:hAnsi="Times New Roman" w:cs="Times New Roman"/>
          <w:b/>
          <w:bCs/>
          <w:sz w:val="26"/>
          <w:szCs w:val="26"/>
        </w:rPr>
        <w:t xml:space="preserve">* Nhận xét chung:</w:t>
      </w:r>
      <w:r>
        <w:rPr>
          <w:b/>
          <w:sz w:val="26"/>
          <w:szCs w:val="26"/>
        </w:rPr>
      </w:r>
    </w:p>
    <w:p>
      <w:pPr>
        <w:pBdr/>
        <w:spacing/>
        <w:ind w:firstLine="567"/>
        <w:jc w:val="both"/>
        <w:rPr>
          <w:sz w:val="26"/>
          <w:szCs w:val="26"/>
        </w:rPr>
      </w:pPr>
      <w:r>
        <w:rPr>
          <w:rFonts w:ascii="Times New Roman" w:hAnsi="Times New Roman" w:cs="Times New Roman"/>
          <w:sz w:val="26"/>
          <w:szCs w:val="26"/>
        </w:rPr>
        <w:t xml:space="preserve">Qua phân tích tình hình tài chính và hoạt động của [Tên khách hàng] cho thấy:</w:t>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đang có quy mô kinh doanh cũng như việc tăng trưởng </w:t>
      </w:r>
      <w:r>
        <w:rPr>
          <w:rFonts w:ascii="Times New Roman" w:hAnsi="Times New Roman" w:cs="Times New Roman"/>
          <w:sz w:val="26"/>
          <w:szCs w:val="26"/>
        </w:rPr>
        <w:t xml:space="preserve">doanh thu với tốc độ lớn do ký được nhiều hợp đồng kinh tế với .......... Sự tăng trưởng về quy mô kinh doanh kéo theo gia tăng công nợ, gia tăng các khoản phải thu và đòi hỏi việc kiểm soát dòng tiền, bố trí vốn phải được tiến hành chặt chẽ, thường xuyên;</w:t>
      </w:r>
      <w:r>
        <w:rPr>
          <w:sz w:val="26"/>
          <w:szCs w:val="26"/>
        </w:rPr>
      </w:r>
    </w:p>
    <w:p>
      <w:pPr>
        <w:pBdr/>
        <w:spacing/>
        <w:ind w:firstLine="567"/>
        <w:jc w:val="both"/>
        <w:rPr>
          <w:sz w:val="26"/>
          <w:szCs w:val="26"/>
        </w:rPr>
      </w:pPr>
      <w:r>
        <w:rPr>
          <w:rFonts w:ascii="Times New Roman" w:hAnsi="Times New Roman" w:cs="Times New Roman"/>
          <w:sz w:val="26"/>
          <w:szCs w:val="26"/>
        </w:rPr>
        <w:t xml:space="preserve">- Vốn lưu động được duy trì ổn định, đảm bảo tỷ lệ tham gia của vốn đối ứng, góp phần ổn định sự cân bằng về tài chính.</w:t>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đã hoạt động được ... năm. Ban lãnh đạo là người nhanh nhạy và có mối quan hệ rộng trong lĩnh vực ....., điều này đã giúp công ty có nhiều ưu thế trong cạnh tranh và là đối tác với các công ty lớn về doanh nghiệp.</w:t>
      </w:r>
      <w:r>
        <w:rPr>
          <w:sz w:val="26"/>
          <w:szCs w:val="26"/>
        </w:rPr>
      </w:r>
    </w:p>
    <w:p>
      <w:pPr>
        <w:pBdr/>
        <w:spacing/>
        <w:ind w:firstLine="567"/>
        <w:jc w:val="both"/>
        <w:rPr>
          <w:b/>
          <w:sz w:val="26"/>
          <w:szCs w:val="28"/>
        </w:rPr>
      </w:pPr>
      <w:r>
        <w:rPr>
          <w:rFonts w:ascii="Times New Roman" w:hAnsi="Times New Roman" w:cs="Times New Roman"/>
          <w:b/>
          <w:bCs/>
          <w:sz w:val="26"/>
          <w:szCs w:val="26"/>
        </w:rPr>
        <w:t xml:space="preserve">II. Tình hình quan hệ giao dịch với Ngân hàng</w:t>
      </w:r>
      <w:r>
        <w:rPr>
          <w:b/>
          <w:sz w:val="26"/>
          <w:szCs w:val="28"/>
        </w:rPr>
      </w:r>
    </w:p>
    <w:p>
      <w:pPr>
        <w:pBdr/>
        <w:tabs>
          <w:tab w:val="left" w:leader="none" w:pos="567"/>
        </w:tabs>
        <w:spacing/>
        <w:ind w:firstLine="567"/>
        <w:jc w:val="both"/>
        <w:rPr>
          <w:rFonts w:eastAsia="Calibri"/>
          <w:b/>
          <w:bCs/>
          <w:sz w:val="26"/>
          <w:szCs w:val="22"/>
        </w:rPr>
      </w:pPr>
      <w:r>
        <w:rPr>
          <w:b/>
          <w:bCs/>
          <w:sz w:val="26"/>
          <w:szCs w:val="26"/>
        </w:rPr>
        <w:t xml:space="preserve">1. Tình hình quan hệ giao dịch của khách hàng với Agribank</w:t>
      </w:r>
      <w:r>
        <w:rPr>
          <w:rFonts w:eastAsia="Calibri"/>
          <w:b/>
          <w:bCs/>
          <w:sz w:val="26"/>
          <w:szCs w:val="22"/>
        </w:rPr>
      </w:r>
    </w:p>
    <w:p>
      <w:pPr>
        <w:pBdr/>
        <w:tabs>
          <w:tab w:val="left" w:leader="none" w:pos="567"/>
        </w:tabs>
        <w:spacing/>
        <w:ind/>
        <w:jc w:val="right"/>
        <w:rPr>
          <w:rFonts w:eastAsia="Calibri"/>
          <w:bCs/>
          <w:i/>
          <w:sz w:val="26"/>
          <w:szCs w:val="22"/>
        </w:rPr>
      </w:pPr>
      <w:r>
        <w:rPr>
          <w:i/>
          <w:iCs/>
          <w:sz w:val="26"/>
          <w:szCs w:val="26"/>
        </w:rPr>
        <w:t xml:space="preserve">Đơn vị: đồng</w:t>
      </w:r>
      <w:r>
        <w:rPr>
          <w:rFonts w:eastAsia="Calibri"/>
          <w:bCs/>
          <w:i/>
          <w:sz w:val="26"/>
          <w:szCs w:val="22"/>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[Năm liền kề]</w:t>
            </w:r>
            <w:r>
              <w:rPr>
                <w:rFonts w:eastAsia="Calibri"/>
                <w:b/>
                <w:bCs/>
                <w:sz w:val="26"/>
                <w:szCs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[Năm]</w:t>
            </w:r>
            <w:r>
              <w:rPr>
                <w:rFonts w:eastAsia="Calibri"/>
                <w:b/>
                <w:bCs/>
                <w:sz w:val="26"/>
                <w:szCs w:val="26"/>
              </w:rPr>
            </w:r>
          </w:p>
          <w:p>
            <w:pPr>
              <w:pBdr/>
              <w:spacing/>
              <w:ind/>
              <w:jc w:val="center"/>
              <w:rPr>
                <w:rFonts w:eastAsia="Calibri"/>
                <w:b/>
                <w:bCs/>
                <w:sz w:val="26"/>
                <w:szCs w:val="26"/>
              </w:rPr>
            </w:pPr>
            <w:r>
              <w:rPr>
                <w:b/>
                <w:bCs/>
                <w:sz w:val="26"/>
                <w:szCs w:val="26"/>
              </w:rPr>
              <w:t xml:space="preserve">(từ đầu năm đến [Ngày báo cáo])</w:t>
            </w:r>
            <w:r>
              <w:rPr>
                <w:rFonts w:eastAsia="Calibri"/>
                <w:b/>
                <w:bCs/>
                <w:sz w:val="26"/>
                <w:szCs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1. Chỉ tiêu tín dụng ngắn hạn</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cho vay NH:]</w:t>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cho vay NH]</w:t>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thu nợ NH:]</w:t>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thu nợ NH]</w:t>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[Dư nợ cuối kỳ NH:]</w:t>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[Dư nợ cuối kỳ NH]</w:t>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thu lãi NH:]</w:t>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thu lãi NH]</w:t>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2. Chỉ tiêu tín dụng trung dài hạn</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cho vay TDH:]</w:t>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cho vay TDH]</w:t>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thu nợ TDH:]</w:t>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thu nợ TDH]</w:t>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[Dư nợ cuối kỳ TDH:]</w:t>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[Dư nợ cuối kỳ TDH]</w:t>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thu lãi TDH:]</w:t>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thu lãi TDH]</w:t>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3. Chi tiêu bảo lãnh</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bảo lãnh</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[Doanh số bảo lãnh:] </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[Doanh số bảo lãnh]</w:t>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bảo lãnh cuối kỳ</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[Số dư bảo lãnh cuối kỳ:] </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[Số dư bảo lãnh cuối kỳ]</w:t>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[Phí bảo lãnh đã thu:] </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[Phí bảo lãnh đã thu]</w:t>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4. Chỉ tiêu về TTQT</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mở L/C</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[VV.Doanh số mở L/C:] </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[VV.Doanh số mở L/C]</w:t>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L/C cuối kỳ</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[VV.Số dư L/C cuối kỳ:] </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[VV.Số dư L/C cuối kỳ]</w:t>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[VV.Phí L/C đã thu:]</w:t>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[VV.Phí L/C đã thu]</w:t>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5. Doanh số chuyển tiền đi</w:t>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[Doanh số chuyển tiền đi:]</w:t>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[Doanh số chuyển tiền đi]</w:t>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6. Doanh số chuyển tiền đến</w:t>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[Doanh số chuyển tiền đến:]</w:t>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[Doanh số chuyển tiền đến]</w:t>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both"/>
              <w:rPr>
                <w:bCs/>
                <w:sz w:val="26"/>
                <w:szCs w:val="28"/>
              </w:rPr>
            </w:pPr>
            <w:r>
              <w:rPr>
                <w:rFonts w:ascii="Times New Roman" w:hAnsi="Times New Roman" w:cs="Times New Roman"/>
                <w:sz w:val="26"/>
                <w:szCs w:val="26"/>
              </w:rPr>
              <w:t xml:space="preserve">7. Doanh thu </w:t>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8. Tiền thu bán hàng và dịch vụ </w:t>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9. Tỷ trọng cấp tín dụng tại Agribank/Tổng dư cấp tín dụng tại các TCTD</w:t>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10. Tỷ trọng doanh số chuyển tiền đến/ tiền thu bán hàng và dịch vụ</w:t>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p>
        </w:tc>
      </w:tr>
    </w:tbl>
    <w:p>
      <w:pPr>
        <w:pBdr/>
        <w:tabs>
          <w:tab w:val="left" w:leader="none" w:pos="567"/>
        </w:tabs>
        <w:spacing/>
        <w:ind w:firstLine="567"/>
        <w:jc w:val="both"/>
        <w:rPr>
          <w:b/>
          <w:sz w:val="26"/>
        </w:rPr>
      </w:pPr>
      <w:r>
        <w:tab/>
      </w:r>
      <w:r>
        <w:rPr>
          <w:rFonts w:ascii="Times New Roman" w:hAnsi="Times New Roman" w:cs="Times New Roman"/>
          <w:b/>
          <w:bCs/>
          <w:sz w:val="26"/>
          <w:szCs w:val="26"/>
        </w:rPr>
        <w:t xml:space="preserve">2. Tình hình hoạt động của khách hàng và người có liên quan </w:t>
      </w:r>
      <w:r>
        <w:rPr>
          <w:b/>
          <w:sz w:val="26"/>
        </w:rPr>
      </w:r>
    </w:p>
    <w:p>
      <w:pPr>
        <w:pBdr/>
        <w:spacing/>
        <w:ind w:firstLine="567"/>
        <w:jc w:val="both"/>
        <w:rPr>
          <w:bCs/>
          <w:iCs/>
          <w:sz w:val="26"/>
        </w:rPr>
      </w:pPr>
      <w:r>
        <w:rPr>
          <w:rFonts w:ascii="Times New Roman" w:hAnsi="Times New Roman" w:cs="Times New Roman"/>
          <w:sz w:val="26"/>
          <w:szCs w:val="26"/>
        </w:rPr>
        <w:t xml:space="preserve">- Về hoạt động của nhóm</w:t>
      </w:r>
      <w:r>
        <w:rPr>
          <w:bCs/>
          <w:iCs/>
          <w:sz w:val="26"/>
        </w:rPr>
      </w:r>
    </w:p>
    <w:p>
      <w:pPr>
        <w:pBdr/>
        <w:spacing/>
        <w:ind w:firstLine="567"/>
        <w:jc w:val="both"/>
        <w:rPr>
          <w:bCs/>
          <w:iCs/>
          <w:sz w:val="26"/>
        </w:rPr>
      </w:pPr>
      <w:r>
        <w:rPr>
          <w:rFonts w:ascii="Times New Roman" w:hAnsi="Times New Roman" w:cs="Times New Roman"/>
          <w:sz w:val="26"/>
          <w:szCs w:val="26"/>
          <w:highlight w:val="yellow"/>
        </w:rPr>
        <w:t xml:space="preserve">Đánh giá mối quan hệ giữa khách hàng và người có liên quan, vai trò ảnh hưởng giữa các thành viên trong nhóm</w:t>
      </w:r>
      <w:r>
        <w:rPr>
          <w:bCs/>
          <w:iCs/>
          <w:sz w:val="26"/>
        </w:rPr>
      </w:r>
    </w:p>
    <w:p>
      <w:pPr>
        <w:pBdr/>
        <w:spacing/>
        <w:ind w:firstLine="567"/>
        <w:contextualSpacing w:val="true"/>
        <w:jc w:val="both"/>
        <w:rPr>
          <w:rFonts w:eastAsia="Calibri"/>
          <w:bCs/>
          <w:iCs/>
          <w:sz w:val="26"/>
        </w:rPr>
      </w:pPr>
      <w:r>
        <w:rPr>
          <w:sz w:val="26"/>
          <w:szCs w:val="26"/>
        </w:rPr>
        <w:t xml:space="preserve">- Tình hình tài chính và quan hệ giao dịch với Agribank năm ....</w:t>
      </w:r>
      <w:r>
        <w:rPr>
          <w:rFonts w:eastAsia="Calibri"/>
          <w:bCs/>
          <w:iCs/>
          <w:sz w:val="26"/>
        </w:rPr>
      </w:r>
    </w:p>
    <w:p>
      <w:pPr>
        <w:pBdr/>
        <w:spacing/>
        <w:ind w:firstLine="567"/>
        <w:contextualSpacing w:val="true"/>
        <w:jc w:val="both"/>
        <w:rPr>
          <w:rFonts w:eastAsia="Calibri"/>
          <w:bCs/>
          <w:iCs/>
          <w:sz w:val="26"/>
          <w:highlight w:val="yellow"/>
        </w:rPr>
      </w:pPr>
      <w:r>
        <w:rPr>
          <w:sz w:val="26"/>
          <w:szCs w:val="26"/>
          <w:highlight w:val="yellow"/>
        </w:rPr>
        <w:t xml:space="preserve">(Chỉ đánh giá các khách hàng có quan hệ tín dụng với Agribank) </w:t>
      </w:r>
      <w:r>
        <w:rPr>
          <w:rFonts w:eastAsia="Calibri"/>
          <w:bCs/>
          <w:iCs/>
          <w:sz w:val="26"/>
          <w:highlight w:val="yellow"/>
        </w:rPr>
      </w:r>
    </w:p>
    <w:p>
      <w:pPr>
        <w:pBdr/>
        <w:spacing/>
        <w:ind w:firstLine="567"/>
        <w:contextualSpacing w:val="true"/>
        <w:jc w:val="both"/>
        <w:rPr>
          <w:rFonts w:eastAsia="Calibri"/>
          <w:bCs/>
          <w:iCs/>
          <w:sz w:val="26"/>
        </w:rPr>
      </w:pPr>
      <w:r>
        <w:rPr>
          <w:sz w:val="26"/>
          <w:szCs w:val="26"/>
          <w:highlight w:val="yellow"/>
        </w:rPr>
        <w:t xml:space="preserve">- Đánh giá tình hình tài chính của các pháp nhân trong nhóm, cần lưu ý đánh giá các khoản phải thu, phải trả của các khách hàng trong nhóm, vốn chủ sở hữu chéo giữa các khách hàng trong nhóm, để nhận định về mức độ phụ thuộc, sự minh bạch tài chính.</w:t>
      </w:r>
      <w:r>
        <w:rPr>
          <w:rFonts w:eastAsia="Calibri"/>
          <w:bCs/>
          <w:iCs/>
          <w:sz w:val="26"/>
        </w:rPr>
      </w:r>
    </w:p>
    <w:p>
      <w:pPr>
        <w:pBdr/>
        <w:spacing/>
        <w:ind w:firstLine="567"/>
        <w:contextualSpacing w:val="true"/>
        <w:jc w:val="both"/>
        <w:rPr>
          <w:rFonts w:eastAsia="Calibri"/>
          <w:bCs/>
          <w:iCs/>
          <w:sz w:val="26"/>
        </w:rPr>
      </w:pPr>
      <w:r>
        <w:rPr>
          <w:sz w:val="26"/>
          <w:szCs w:val="26"/>
          <w:highlight w:val="yellow"/>
        </w:rPr>
        <w:t xml:space="preserve">Đánh giá quan hệ giao dịch với Agribank thông qua doanh số chuyển tiền đi, đến, đối chiếu với doanh số mua bán hàng hóa xem có phù hợp không?</w:t>
      </w:r>
      <w:r>
        <w:rPr>
          <w:rFonts w:eastAsia="Calibri"/>
          <w:bCs/>
          <w:iCs/>
          <w:sz w:val="26"/>
        </w:rPr>
      </w:r>
    </w:p>
    <w:p>
      <w:pPr>
        <w:pBdr/>
        <w:spacing/>
        <w:ind w:firstLine="567"/>
        <w:contextualSpacing w:val="true"/>
        <w:jc w:val="both"/>
        <w:rPr>
          <w:rFonts w:eastAsia="Calibri"/>
          <w:bCs/>
          <w:iCs/>
          <w:sz w:val="26"/>
        </w:rPr>
      </w:pPr>
      <w:r>
        <w:rPr>
          <w:sz w:val="26"/>
          <w:szCs w:val="26"/>
        </w:rPr>
        <w:t xml:space="preserve">- Tình hình hoạt động</w:t>
      </w:r>
      <w:r>
        <w:rPr>
          <w:rFonts w:eastAsia="Calibri"/>
          <w:bCs/>
          <w:iCs/>
          <w:sz w:val="26"/>
        </w:rPr>
      </w:r>
    </w:p>
    <w:p>
      <w:pPr>
        <w:pBdr/>
        <w:spacing/>
        <w:ind w:firstLine="567"/>
        <w:jc w:val="both"/>
        <w:rPr>
          <w:rFonts w:eastAsia="Arial"/>
          <w:b/>
          <w:sz w:val="26"/>
        </w:rPr>
      </w:pPr>
      <w:r>
        <w:rPr>
          <w:b/>
          <w:bCs/>
          <w:sz w:val="26"/>
          <w:szCs w:val="26"/>
        </w:rPr>
        <w:t xml:space="preserve">3. Tình hình thực hiện các nội dung thỏa thuận trong hợp đồng tín dụng đã ký hoặc theo thông báo phê duyệt của Tổng giám đốc/ Giám đốc kỳ trước (nếu có):</w:t>
      </w:r>
      <w:r>
        <w:rPr>
          <w:rFonts w:eastAsia="Arial"/>
          <w:b/>
          <w:sz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Nội dung</w:t>
            </w:r>
            <w:r>
              <w:rPr>
                <w:b/>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tiết</w:t>
            </w:r>
            <w:r>
              <w:rPr>
                <w:b/>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Tình hình thực hiện</w:t>
            </w:r>
            <w:r>
              <w:rPr>
                <w:b/>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Đánh giá</w:t>
            </w:r>
            <w:r>
              <w:rPr>
                <w:b/>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p>
        </w:tc>
      </w:tr>
    </w:tbl>
    <w:p>
      <w:pPr>
        <w:pBdr/>
        <w:spacing/>
        <w:ind w:firstLine="567"/>
        <w:jc w:val="both"/>
        <w:rPr>
          <w:b/>
          <w:sz w:val="26"/>
          <w:szCs w:val="28"/>
        </w:rPr>
      </w:pPr>
      <w:r>
        <w:rPr>
          <w:rFonts w:ascii="Times New Roman" w:hAnsi="Times New Roman" w:cs="Times New Roman"/>
          <w:b/>
          <w:bCs/>
          <w:sz w:val="26"/>
          <w:szCs w:val="26"/>
        </w:rPr>
        <w:t xml:space="preserve">III. Thẩm định tính khả thi của phương án sử dụng vốn</w:t>
      </w:r>
      <w:r>
        <w:rPr>
          <w:b/>
          <w:sz w:val="26"/>
          <w:szCs w:val="28"/>
        </w:rPr>
      </w:r>
    </w:p>
    <w:p>
      <w:pPr>
        <w:pBdr/>
        <w:tabs>
          <w:tab w:val="left" w:leader="none" w:pos="709"/>
        </w:tabs>
        <w:spacing/>
        <w:ind w:firstLine="567"/>
        <w:jc w:val="both"/>
        <w:rPr>
          <w:b/>
          <w:bCs/>
          <w:sz w:val="26"/>
          <w:szCs w:val="28"/>
        </w:rPr>
      </w:pPr>
      <w:r>
        <w:rPr>
          <w:rFonts w:ascii="Times New Roman" w:hAnsi="Times New Roman" w:cs="Times New Roman"/>
          <w:b/>
          <w:bCs/>
          <w:sz w:val="26"/>
          <w:szCs w:val="26"/>
        </w:rPr>
        <w:t xml:space="preserve">1. Tình hình thực hiện kế hoạch sản xuất kinh doanh năm trước liền kề </w:t>
      </w:r>
      <w:r>
        <w:rPr>
          <w:b/>
          <w:bCs/>
          <w:sz w:val="26"/>
          <w:szCs w:val="28"/>
        </w:rPr>
      </w:r>
    </w:p>
    <w:p>
      <w:pPr>
        <w:pBdr/>
        <w:tabs>
          <w:tab w:val="left" w:leader="none" w:pos="709"/>
        </w:tabs>
        <w:spacing/>
        <w:ind w:firstLine="567"/>
        <w:jc w:val="right"/>
        <w:rPr>
          <w:i/>
          <w:iCs/>
          <w:sz w:val="26"/>
          <w:szCs w:val="28"/>
        </w:rPr>
      </w:pPr>
      <w:r>
        <w:rPr>
          <w:rFonts w:ascii="Times New Roman" w:hAnsi="Times New Roman" w:cs="Times New Roman"/>
          <w:i/>
          <w:iCs/>
          <w:sz w:val="26"/>
          <w:szCs w:val="26"/>
        </w:rPr>
        <w:t xml:space="preserve">Đơn vị:</w:t>
      </w:r>
      <w:r>
        <w:rPr>
          <w:i/>
          <w:iCs/>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STT</w:t>
            </w:r>
            <w:r>
              <w:rPr>
                <w:b/>
                <w:bCs/>
                <w:sz w:val="26"/>
                <w:szCs w:val="28"/>
              </w:rPr>
            </w:r>
          </w:p>
        </w:tc>
        <w:tc>
          <w:tcPr>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Kế hoạch năm…</w:t>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Thực hiện năm…</w:t>
            </w:r>
            <w:r>
              <w:rPr>
                <w:b/>
                <w:bCs/>
                <w:sz w:val="26"/>
                <w:szCs w:val="28"/>
              </w:rPr>
            </w:r>
          </w:p>
        </w:tc>
        <w:tc>
          <w:tcPr>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center"/>
              <w:rPr>
                <w:b/>
                <w:bCs/>
                <w:sz w:val="26"/>
                <w:szCs w:val="28"/>
              </w:rPr>
            </w:pPr>
            <w:r>
              <w:rPr>
                <w:rFonts w:ascii="Times New Roman" w:hAnsi="Times New Roman" w:cs="Times New Roman"/>
                <w:b/>
                <w:bCs/>
                <w:sz w:val="26"/>
                <w:szCs w:val="26"/>
              </w:rPr>
              <w:t xml:space="preserve">So sánh (+/-)</w:t>
            </w:r>
            <w:r>
              <w:rPr>
                <w:b/>
                <w:bCs/>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1</w:t>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Doanh thu</w:t>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2</w:t>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Chi phí</w:t>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3</w:t>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Lợi nhuận</w:t>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p>
        </w:tc>
      </w:tr>
    </w:tbl>
    <w:p>
      <w:pPr>
        <w:pBdr/>
        <w:spacing/>
        <w:ind w:firstLine="567"/>
        <w:jc w:val="both"/>
        <w:rPr>
          <w:b/>
          <w:sz w:val="26"/>
          <w:szCs w:val="28"/>
        </w:rPr>
      </w:pPr>
      <w:r>
        <w:rPr>
          <w:rFonts w:ascii="Times New Roman" w:hAnsi="Times New Roman" w:cs="Times New Roman"/>
          <w:b/>
          <w:bCs/>
          <w:sz w:val="26"/>
          <w:szCs w:val="26"/>
        </w:rPr>
        <w:t xml:space="preserve">2. Hiệu quả của phương án sản xuất kinh doanh năm kế hoạch</w:t>
      </w:r>
      <w:r>
        <w:rPr>
          <w:b/>
          <w:sz w:val="26"/>
          <w:szCs w:val="28"/>
        </w:rPr>
      </w:r>
    </w:p>
    <w:p>
      <w:pPr>
        <w:pBdr/>
        <w:tabs>
          <w:tab w:val="left" w:leader="none" w:pos="7368"/>
        </w:tabs>
        <w:spacing/>
        <w:ind w:firstLine="567"/>
        <w:jc w:val="both"/>
        <w:rPr>
          <w:rFonts w:eastAsia="Calibri"/>
          <w:bCs/>
          <w:sz w:val="26"/>
          <w:szCs w:val="26"/>
        </w:rPr>
      </w:pPr>
      <w:r>
        <w:rPr>
          <w:sz w:val="26"/>
          <w:szCs w:val="26"/>
        </w:rPr>
        <w:t xml:space="preserve">- Tổng doanh thu: [Tổng doanh thu dự kiến] đồng</w:t>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Tổng chi phí: [Tổng chi phí dự kiến] đồng</w:t>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Lợi nhuận: [Lợi nhuận dự kiến] đồng</w:t>
      </w:r>
      <w:r>
        <w:rPr>
          <w:rFonts w:eastAsia="Calibri"/>
          <w:bCs/>
          <w:sz w:val="26"/>
          <w:szCs w:val="26"/>
        </w:rPr>
      </w:r>
    </w:p>
    <w:p>
      <w:pPr>
        <w:pBdr/>
        <w:spacing/>
        <w:ind w:firstLine="567"/>
        <w:jc w:val="both"/>
        <w:rPr>
          <w:b/>
          <w:bCs/>
          <w:sz w:val="26"/>
          <w:szCs w:val="28"/>
        </w:rPr>
      </w:pPr>
      <w:r>
        <w:rPr>
          <w:rFonts w:ascii="Times New Roman" w:hAnsi="Times New Roman" w:cs="Times New Roman"/>
          <w:b/>
          <w:bCs/>
          <w:sz w:val="26"/>
          <w:szCs w:val="26"/>
        </w:rPr>
        <w:t xml:space="preserve">3. Tổng nguồn vốn cần sử dụng năm kế hoạch</w:t>
      </w:r>
      <w:r>
        <w:rPr>
          <w:b/>
          <w:bCs/>
          <w:sz w:val="26"/>
          <w:szCs w:val="28"/>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Xác định tổng chi phí của phương án bao gồm:</w:t>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nguyên vật liệu, hàng hóa ;</w:t>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nhân công ;</w:t>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bán hàng ;</w:t>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quản lý ;</w:t>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tài chính ;</w:t>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khấu hao ;</w:t>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khác ;</w:t>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Cơ sở xác định chi phí :</w:t>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Căn cứ vào giá bán nguyên vật liệu, hàng hóa của các nhà cung cấp. Các chi phí sản xuất chung, chi phí nhân công, chi phí quản lý, chi phí bán hàng, chi phí khác được xác định tương ứng với doanh thu hàng năm của Doanh nghiệp;</w:t>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khấu hao được xác định trên cơ sở khấu hao TSCĐ hàng năm của Doanh nghiệp ;</w:t>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tài chính (Lãi vay) được xác định trên kế hoạch vay tại các Ngân hàng của Doanh nghiệp ; </w:t>
      </w:r>
      <w:r>
        <w:rPr>
          <w:bCs/>
          <w:sz w:val="26"/>
          <w:szCs w:val="28"/>
          <w:highlight w:val="yellow"/>
        </w:rPr>
      </w:r>
    </w:p>
    <w:p>
      <w:pPr>
        <w:pBdr/>
        <w:spacing/>
        <w:ind w:firstLine="567"/>
        <w:jc w:val="both"/>
        <w:rPr>
          <w:sz w:val="26"/>
          <w:szCs w:val="28"/>
          <w:highlight w:val="yellow"/>
        </w:rPr>
      </w:pPr>
      <w:r>
        <w:rPr>
          <w:rFonts w:ascii="Times New Roman" w:hAnsi="Times New Roman" w:cs="Times New Roman"/>
          <w:sz w:val="26"/>
          <w:szCs w:val="26"/>
          <w:highlight w:val="yellow"/>
        </w:rPr>
        <w:t xml:space="preserve">- Đối với cho vay theo hạn mức tín dụng (có phụ lục hướng dẫn)</w:t>
      </w:r>
      <w:r>
        <w:rPr>
          <w:sz w:val="26"/>
          <w:szCs w:val="28"/>
          <w:highlight w:val="yellow"/>
        </w:rPr>
      </w:r>
    </w:p>
    <w:p>
      <w:pPr>
        <w:pBdr/>
        <w:tabs>
          <w:tab w:val="left" w:leader="none" w:pos="709"/>
        </w:tabs>
        <w:spacing/>
        <w:ind w:firstLine="567"/>
        <w:jc w:val="both"/>
        <w:rPr>
          <w:rFonts w:eastAsia="Arial"/>
          <w:sz w:val="26"/>
          <w:szCs w:val="28"/>
          <w:highlight w:val="yellow"/>
        </w:rPr>
      </w:pPr>
      <w:r>
        <w:rPr>
          <w:sz w:val="26"/>
          <w:szCs w:val="26"/>
          <w:highlight w:val="yellow"/>
        </w:rPr>
        <w:t xml:space="preserve">- Đối với cho vay từng lần</w:t>
      </w:r>
      <w:r>
        <w:rPr>
          <w:rFonts w:eastAsia="Arial"/>
          <w:sz w:val="26"/>
          <w:szCs w:val="28"/>
          <w:highlight w:val="yellow"/>
        </w:rPr>
      </w:r>
    </w:p>
    <w:p>
      <w:pPr>
        <w:pBdr/>
        <w:tabs>
          <w:tab w:val="left" w:leader="none" w:pos="709"/>
        </w:tabs>
        <w:spacing/>
        <w:ind w:firstLine="567"/>
        <w:jc w:val="both"/>
        <w:rPr>
          <w:sz w:val="26"/>
          <w:szCs w:val="28"/>
        </w:rPr>
      </w:pPr>
      <w:r>
        <w:rPr>
          <w:rFonts w:ascii="Times New Roman" w:hAnsi="Times New Roman" w:cs="Times New Roman"/>
          <w:sz w:val="26"/>
          <w:szCs w:val="26"/>
          <w:highlight w:val="yellow"/>
        </w:rPr>
        <w:t xml:space="preserve">Tổng nhu cầu vốn = Chi phí của phương án sản xuất kinh doanh – khấu hao – lãi vay</w:t>
      </w:r>
      <w:r>
        <w:rPr>
          <w:sz w:val="26"/>
          <w:szCs w:val="28"/>
        </w:rPr>
      </w:r>
    </w:p>
    <w:p>
      <w:pPr>
        <w:pBdr/>
        <w:spacing/>
        <w:ind w:firstLine="567"/>
        <w:jc w:val="both"/>
        <w:rPr>
          <w:b/>
          <w:bCs/>
          <w:iCs/>
          <w:sz w:val="26"/>
          <w:szCs w:val="28"/>
        </w:rPr>
      </w:pPr>
      <w:r>
        <w:rPr>
          <w:rFonts w:ascii="Times New Roman" w:hAnsi="Times New Roman" w:cs="Times New Roman"/>
          <w:b/>
          <w:bCs/>
          <w:sz w:val="26"/>
          <w:szCs w:val="26"/>
        </w:rPr>
        <w:t xml:space="preserve">a) Nhu cầu vay vốn</w:t>
      </w:r>
      <w:r>
        <w:rPr>
          <w:b/>
          <w:bCs/>
          <w:iCs/>
          <w:sz w:val="26"/>
          <w:szCs w:val="28"/>
        </w:rPr>
      </w:r>
    </w:p>
    <w:p>
      <w:pPr>
        <w:pBdr/>
        <w:spacing/>
        <w:ind w:firstLine="567"/>
        <w:jc w:val="both"/>
        <w:rPr>
          <w:sz w:val="26"/>
          <w:szCs w:val="26"/>
        </w:rPr>
      </w:pPr>
      <w:r>
        <w:rPr>
          <w:rFonts w:ascii="Times New Roman" w:hAnsi="Times New Roman" w:cs="Times New Roman"/>
          <w:sz w:val="26"/>
          <w:szCs w:val="26"/>
        </w:rPr>
        <w:t xml:space="preserve">- Tổng nhu cầu vốn: </w:t>
      </w:r>
      <w:r>
        <w:rPr>
          <w:rFonts w:ascii="Times New Roman" w:hAnsi="Times New Roman" w:cs="Times New Roman"/>
          <w:b/>
          <w:bCs/>
          <w:sz w:val="26"/>
          <w:szCs w:val="26"/>
        </w:rPr>
        <w:t xml:space="preserve">[Tổng nhu cầu vốn]</w:t>
      </w:r>
      <w:r>
        <w:rPr>
          <w:rFonts w:ascii="Times New Roman" w:hAnsi="Times New Roman" w:cs="Times New Roman"/>
          <w:sz w:val="26"/>
          <w:szCs w:val="26"/>
        </w:rPr>
        <w:t xml:space="preserve"> đồng</w:t>
      </w:r>
      <w:r>
        <w:rPr>
          <w:sz w:val="26"/>
          <w:szCs w:val="26"/>
        </w:rPr>
      </w:r>
    </w:p>
    <w:p>
      <w:pPr>
        <w:pBdr/>
        <w:spacing/>
        <w:ind w:firstLine="567"/>
        <w:jc w:val="both"/>
        <w:rPr>
          <w:sz w:val="26"/>
          <w:szCs w:val="26"/>
        </w:rPr>
      </w:pPr>
      <w:r>
        <w:rPr>
          <w:rFonts w:ascii="Times New Roman" w:hAnsi="Times New Roman" w:cs="Times New Roman"/>
          <w:sz w:val="26"/>
          <w:szCs w:val="26"/>
        </w:rPr>
        <w:t xml:space="preserve">- Vốn đối ứng: </w:t>
      </w:r>
      <w:r>
        <w:rPr>
          <w:rFonts w:ascii="Times New Roman" w:hAnsi="Times New Roman" w:cs="Times New Roman"/>
          <w:b/>
          <w:bCs/>
          <w:sz w:val="26"/>
          <w:szCs w:val="26"/>
        </w:rPr>
        <w:t xml:space="preserve">[Vốn đối ứng]</w:t>
      </w:r>
      <w:r>
        <w:rPr>
          <w:rFonts w:ascii="Times New Roman" w:hAnsi="Times New Roman" w:cs="Times New Roman"/>
          <w:sz w:val="26"/>
          <w:szCs w:val="26"/>
        </w:rPr>
        <w:t xml:space="preserve"> đồng</w:t>
      </w:r>
      <w:r>
        <w:rPr>
          <w:sz w:val="26"/>
          <w:szCs w:val="26"/>
        </w:rPr>
      </w:r>
    </w:p>
    <w:p>
      <w:pPr>
        <w:pBdr/>
        <w:spacing/>
        <w:ind w:firstLine="1134"/>
        <w:jc w:val="both"/>
        <w:rPr>
          <w:rFonts w:eastAsia="Calibri"/>
          <w:sz w:val="26"/>
          <w:szCs w:val="26"/>
        </w:rPr>
      </w:pPr>
      <w:r>
        <w:rPr>
          <w:sz w:val="26"/>
          <w:szCs w:val="26"/>
        </w:rPr>
        <w:t xml:space="preserve">+) Vốn lưu động ròng: [Vốn lưu động ròng] đồng</w:t>
      </w:r>
      <w:r>
        <w:rPr>
          <w:rFonts w:eastAsia="Calibri"/>
          <w:sz w:val="26"/>
          <w:szCs w:val="26"/>
        </w:rPr>
      </w:r>
    </w:p>
    <w:p>
      <w:pPr>
        <w:pBdr/>
        <w:spacing/>
        <w:ind w:firstLine="1134"/>
        <w:jc w:val="both"/>
        <w:rPr>
          <w:rFonts w:eastAsia="Calibri"/>
          <w:sz w:val="26"/>
          <w:szCs w:val="26"/>
        </w:rPr>
      </w:pPr>
      <w:r>
        <w:rPr>
          <w:sz w:val="26"/>
          <w:szCs w:val="26"/>
        </w:rPr>
        <w:t xml:space="preserve">+) Vốn khác: [Vốn khác] đồng</w:t>
      </w:r>
      <w:r>
        <w:rPr>
          <w:rFonts w:eastAsia="Calibri"/>
          <w:sz w:val="26"/>
          <w:szCs w:val="26"/>
        </w:rPr>
      </w:r>
    </w:p>
    <w:p>
      <w:pPr>
        <w:pBdr/>
        <w:spacing/>
        <w:ind w:firstLine="1134"/>
        <w:jc w:val="both"/>
        <w:rPr>
          <w:rFonts w:eastAsia="Calibri"/>
          <w:iCs/>
          <w:sz w:val="26"/>
          <w:szCs w:val="26"/>
        </w:rPr>
      </w:pPr>
      <w:r>
        <w:rPr>
          <w:sz w:val="26"/>
          <w:szCs w:val="26"/>
        </w:rPr>
        <w:t xml:space="preserve">+ Vay các TCTD khác: [Vốn vay TCTD khác] đồng</w:t>
      </w:r>
      <w:r>
        <w:rPr>
          <w:rFonts w:eastAsia="Calibri"/>
          <w:iCs/>
          <w:sz w:val="26"/>
          <w:szCs w:val="26"/>
        </w:rPr>
      </w:r>
    </w:p>
    <w:p>
      <w:pPr>
        <w:pBdr/>
        <w:spacing/>
        <w:ind w:firstLine="567"/>
        <w:jc w:val="both"/>
        <w:rPr>
          <w:rFonts w:eastAsia="Calibri"/>
          <w:sz w:val="26"/>
          <w:szCs w:val="26"/>
        </w:rPr>
      </w:pPr>
      <w:r>
        <w:rPr>
          <w:sz w:val="26"/>
          <w:szCs w:val="26"/>
        </w:rPr>
        <w:t xml:space="preserve">- Vốn vay Agribank: </w:t>
      </w:r>
      <w:r>
        <w:rPr>
          <w:b/>
          <w:bCs/>
          <w:sz w:val="26"/>
          <w:szCs w:val="26"/>
        </w:rPr>
        <w:t xml:space="preserve">[Số tiền vay]</w:t>
      </w:r>
      <w:r>
        <w:rPr>
          <w:sz w:val="26"/>
          <w:szCs w:val="26"/>
        </w:rPr>
        <w:t xml:space="preserve"> đồng</w:t>
      </w:r>
      <w:r>
        <w:rPr>
          <w:rFonts w:eastAsia="Calibri"/>
          <w:sz w:val="26"/>
          <w:szCs w:val="26"/>
        </w:rPr>
      </w:r>
    </w:p>
    <w:p>
      <w:pPr>
        <w:pBdr/>
        <w:spacing/>
        <w:ind w:firstLine="567"/>
        <w:jc w:val="both"/>
        <w:rPr>
          <w:rFonts w:eastAsia="Calibri"/>
          <w:iCs/>
          <w:sz w:val="26"/>
          <w:szCs w:val="26"/>
        </w:rPr>
      </w:pPr>
      <w:r>
        <w:rPr>
          <w:b/>
          <w:bCs/>
          <w:sz w:val="26"/>
          <w:szCs w:val="26"/>
        </w:rPr>
        <w:t xml:space="preserve">b) Cam kết phát hành dưới hình thức L/C:</w:t>
      </w:r>
      <w:r>
        <w:rPr>
          <w:sz w:val="26"/>
          <w:szCs w:val="26"/>
        </w:rPr>
        <w:t xml:space="preserve"> [Nhu cầu mở L/C] đồng</w:t>
      </w:r>
      <w:r>
        <w:rPr>
          <w:rFonts w:eastAsia="Calibri"/>
          <w:iCs/>
          <w:sz w:val="26"/>
          <w:szCs w:val="26"/>
        </w:rPr>
      </w:r>
    </w:p>
    <w:p>
      <w:pPr>
        <w:pBdr/>
        <w:spacing/>
        <w:ind w:firstLine="567"/>
        <w:jc w:val="both"/>
        <w:rPr>
          <w:rFonts w:eastAsia="Calibri"/>
          <w:iCs/>
          <w:sz w:val="26"/>
          <w:szCs w:val="26"/>
        </w:rPr>
      </w:pPr>
      <w:r>
        <w:rPr>
          <w:b/>
          <w:bCs/>
          <w:sz w:val="26"/>
          <w:szCs w:val="26"/>
        </w:rPr>
        <w:t xml:space="preserve">c) Nhu cầu phát hành bảo lãnh:</w:t>
      </w:r>
      <w:r>
        <w:rPr>
          <w:sz w:val="26"/>
          <w:szCs w:val="26"/>
        </w:rPr>
        <w:t xml:space="preserve"> [Nhu cầu p/hành bảo lãnh] đồng</w:t>
      </w:r>
      <w:r>
        <w:rPr>
          <w:rFonts w:eastAsia="Calibri"/>
          <w:iCs/>
          <w:sz w:val="26"/>
          <w:szCs w:val="26"/>
        </w:rPr>
      </w:r>
    </w:p>
    <w:p>
      <w:pPr>
        <w:pBdr/>
        <w:spacing/>
        <w:ind w:firstLine="567"/>
        <w:jc w:val="both"/>
        <w:rPr>
          <w:rFonts w:eastAsia="Calibri"/>
          <w:iCs/>
          <w:sz w:val="26"/>
          <w:szCs w:val="26"/>
        </w:rPr>
      </w:pPr>
      <w:r>
        <w:rPr>
          <w:b/>
          <w:bCs/>
          <w:sz w:val="26"/>
          <w:szCs w:val="26"/>
        </w:rPr>
        <w:t xml:space="preserve">d) Tổng nhu cầu cấp tín dụng:</w:t>
      </w:r>
      <w:r>
        <w:rPr>
          <w:sz w:val="26"/>
          <w:szCs w:val="26"/>
        </w:rPr>
        <w:t xml:space="preserve"> (=a+b+c): [Tổng nhu cầu cấp TD] đồng </w:t>
      </w:r>
      <w:r>
        <w:rPr>
          <w:rFonts w:eastAsia="Calibri"/>
          <w:iCs/>
          <w:sz w:val="26"/>
          <w:szCs w:val="26"/>
        </w:rPr>
      </w:r>
    </w:p>
    <w:p>
      <w:pPr>
        <w:pBdr/>
        <w:spacing/>
        <w:ind w:firstLine="567"/>
        <w:jc w:val="both"/>
        <w:rPr>
          <w:b/>
          <w:iCs/>
          <w:sz w:val="26"/>
          <w:szCs w:val="28"/>
        </w:rPr>
      </w:pPr>
      <w:r>
        <w:rPr>
          <w:rFonts w:ascii="Times New Roman" w:hAnsi="Times New Roman" w:cs="Times New Roman"/>
          <w:b/>
          <w:bCs/>
          <w:sz w:val="26"/>
          <w:szCs w:val="26"/>
        </w:rPr>
        <w:t xml:space="preserve">4.Tính khả thi của các nguồn vốn</w:t>
      </w:r>
      <w:r>
        <w:rPr>
          <w:b/>
          <w:iCs/>
          <w:sz w:val="26"/>
          <w:szCs w:val="28"/>
        </w:rPr>
      </w:r>
    </w:p>
    <w:p>
      <w:pPr>
        <w:pBdr/>
        <w:spacing/>
        <w:ind w:firstLine="567"/>
        <w:jc w:val="both"/>
        <w:rPr>
          <w:rFonts w:eastAsia="Arial"/>
          <w:sz w:val="26"/>
          <w:szCs w:val="26"/>
        </w:rPr>
      </w:pPr>
      <w:r>
        <w:rPr>
          <w:sz w:val="26"/>
          <w:szCs w:val="26"/>
        </w:rPr>
        <w:t xml:space="preserve">- Vốn đối ứng: Vố</w:t>
      </w:r>
      <w:r>
        <w:rPr>
          <w:sz w:val="26"/>
          <w:szCs w:val="26"/>
        </w:rPr>
        <w:t xml:space="preserve">n đối ứng là vốn của khách hàng tham gia vào phương án sử dụng vốn. Vốn đối ứng tham gia vào phương án, dự án kinh doanh và được xác định dựa trên các nguồn vốn sau: Vốn lưu động ròng có thể tham gia vào phương án sử dụng vốn, vốn vay TCTD khác và vốn khác</w:t>
      </w:r>
      <w:r>
        <w:rPr>
          <w:rFonts w:eastAsia="Arial"/>
          <w:sz w:val="26"/>
          <w:szCs w:val="26"/>
        </w:rPr>
      </w:r>
    </w:p>
    <w:p>
      <w:pPr>
        <w:pBdr/>
        <w:tabs>
          <w:tab w:val="left" w:leader="none" w:pos="709"/>
        </w:tabs>
        <w:spacing/>
        <w:ind w:firstLine="567"/>
        <w:jc w:val="both"/>
        <w:rPr>
          <w:rFonts w:eastAsia="Arial"/>
          <w:sz w:val="26"/>
          <w:szCs w:val="26"/>
          <w:highlight w:val="yellow"/>
        </w:rPr>
      </w:pPr>
      <w:r>
        <w:rPr>
          <w:sz w:val="26"/>
          <w:szCs w:val="26"/>
          <w:highlight w:val="yellow"/>
        </w:rPr>
        <w:t xml:space="preserve">Vốn đối ứng có thể bằng tiền, giá trị tài sản tham gia vào phương án, dự án và được xác định dựa trên các nguồn vốn sau: </w:t>
      </w:r>
      <w:r>
        <w:rPr>
          <w:rFonts w:eastAsia="Arial"/>
          <w:sz w:val="26"/>
          <w:szCs w:val="26"/>
          <w:highlight w:val="yellow"/>
        </w:rPr>
      </w:r>
    </w:p>
    <w:p>
      <w:pPr>
        <w:pBdr/>
        <w:tabs>
          <w:tab w:val="left" w:leader="none" w:pos="567"/>
        </w:tabs>
        <w:spacing/>
        <w:ind w:firstLine="567"/>
        <w:jc w:val="both"/>
        <w:rPr>
          <w:rFonts w:eastAsia="Arial"/>
          <w:i/>
          <w:sz w:val="26"/>
          <w:szCs w:val="26"/>
          <w:highlight w:val="yellow"/>
        </w:rPr>
      </w:pPr>
      <w:r>
        <w:rPr>
          <w:i/>
          <w:iCs/>
          <w:sz w:val="26"/>
          <w:szCs w:val="26"/>
          <w:highlight w:val="yellow"/>
        </w:rPr>
        <w:t xml:space="preserve">Vốn đối ứng = Vốn lưu động ròng tham gia vào Phương án sử dụng vốn + Vốn khác + vốn vay TCTD khác</w:t>
      </w:r>
      <w:r>
        <w:rPr>
          <w:rFonts w:eastAsia="Arial"/>
          <w:i/>
          <w:sz w:val="26"/>
          <w:szCs w:val="26"/>
          <w:highlight w:val="yellow"/>
        </w:rPr>
      </w:r>
    </w:p>
    <w:p>
      <w:pPr>
        <w:pBdr/>
        <w:spacing/>
        <w:ind w:firstLine="567"/>
        <w:jc w:val="both"/>
        <w:rPr>
          <w:rFonts w:eastAsia="Calibri"/>
          <w:sz w:val="26"/>
          <w:szCs w:val="26"/>
          <w:highlight w:val="yellow"/>
        </w:rPr>
      </w:pPr>
      <w:r>
        <w:rPr>
          <w:sz w:val="26"/>
          <w:szCs w:val="26"/>
          <w:highlight w:val="yellow"/>
        </w:rPr>
        <w:t xml:space="preserve">(i) Vốn lưu động ròng: Căn cứ Báo cáo tài chính kỳ gần nhất của khách hàng, được xác định dựa trên các nguồn vốn sau:</w:t>
      </w:r>
      <w:r>
        <w:rPr>
          <w:rFonts w:eastAsia="Calibri"/>
          <w:sz w:val="26"/>
          <w:szCs w:val="26"/>
          <w:highlight w:val="yellow"/>
        </w:rPr>
      </w:r>
    </w:p>
    <w:p>
      <w:pPr>
        <w:pBdr/>
        <w:tabs>
          <w:tab w:val="left" w:leader="none" w:pos="709"/>
        </w:tabs>
        <w:spacing/>
        <w:ind w:firstLine="567"/>
        <w:jc w:val="both"/>
        <w:rPr>
          <w:rFonts w:eastAsia="Arial"/>
          <w:sz w:val="26"/>
          <w:szCs w:val="26"/>
          <w:highlight w:val="yellow"/>
        </w:rPr>
      </w:pPr>
      <w:r>
        <w:rPr>
          <w:sz w:val="26"/>
          <w:szCs w:val="26"/>
          <w:highlight w:val="yellow"/>
        </w:rPr>
        <w:t xml:space="preserve">- Vốn lưu động ròng = vốn chủ sở hữu + nợ dài hạn + nợ dài hạn đến hạn trả được hạch toán trên tài khoản nợ ngắn hạn – tài sản dài hạn.</w:t>
      </w:r>
      <w:r>
        <w:rPr>
          <w:rFonts w:eastAsia="Arial"/>
          <w:sz w:val="26"/>
          <w:szCs w:val="26"/>
          <w:highlight w:val="yellow"/>
        </w:rPr>
      </w:r>
    </w:p>
    <w:p>
      <w:pPr>
        <w:pBdr/>
        <w:spacing/>
        <w:ind w:firstLine="567"/>
        <w:jc w:val="both"/>
        <w:rPr>
          <w:rFonts w:eastAsia="Calibri"/>
          <w:sz w:val="26"/>
          <w:szCs w:val="26"/>
          <w:highlight w:val="yellow"/>
        </w:rPr>
      </w:pPr>
      <w:r>
        <w:rPr>
          <w:sz w:val="26"/>
          <w:szCs w:val="26"/>
          <w:highlight w:val="yellow"/>
        </w:rPr>
        <w:t xml:space="preserve">hoặc Vốn lưu động ròng = Tài sản ngắn hạn – (Nợ ngắn hạn - nợ dài hạn đến hạn trả được hạch toán trên tài khoản nợ ngắn hạn).</w:t>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 VLĐ ròng tham gia vào Phương án sử dụng vốn = Vốn lưu động ròng - VLĐ ròng của công ty cam kết/dự kiến tham gia vào các dự án/phương án khác trong kỳ kế hoạch</w:t>
      </w:r>
      <w:r>
        <w:rPr>
          <w:rFonts w:eastAsia="Calibri"/>
          <w:sz w:val="26"/>
          <w:szCs w:val="26"/>
        </w:rPr>
      </w:r>
    </w:p>
    <w:p>
      <w:pPr>
        <w:pBdr/>
        <w:spacing/>
        <w:ind w:firstLine="567"/>
        <w:jc w:val="both"/>
        <w:rPr>
          <w:rFonts w:eastAsia="Calibri"/>
          <w:b/>
          <w:i/>
          <w:sz w:val="26"/>
          <w:szCs w:val="26"/>
          <w:highlight w:val="yellow"/>
        </w:rPr>
      </w:pPr>
      <w:r>
        <w:rPr>
          <w:b/>
          <w:bCs/>
          <w:i/>
          <w:iCs/>
          <w:sz w:val="26"/>
          <w:szCs w:val="26"/>
          <w:highlight w:val="yellow"/>
        </w:rPr>
        <w:t xml:space="preserve">Lưu ý:</w:t>
      </w:r>
      <w:r>
        <w:rPr>
          <w:rFonts w:eastAsia="Calibri"/>
          <w:b/>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nếu vốn lưu động ròng &lt; 0, thì vốn lưu động ròng được tính = 0. Khách hàng phải giải trình được nguyên nhân vốn lưu động ròng âm và có kế hoạch, biện pháp khả thi để khắc phục, đảm bảo vốn tham gia vào phương án sử dụng vốn.</w:t>
      </w:r>
      <w:r>
        <w:rPr>
          <w:rFonts w:eastAsia="Calibri"/>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khách hàng đang hoạt động sản xuất kinh doanh, nhưng có đầu tư tài sản cố định, thì khi tính vốn lưu động ròng tại phần tài sản ngắn hạn có thể loại trừ các khoản phải thu và hàng tồn kho liên quan đến đầu tư tài sản cố đị</w:t>
      </w:r>
      <w:r>
        <w:rPr>
          <w:i/>
          <w:iCs/>
          <w:sz w:val="26"/>
          <w:szCs w:val="26"/>
          <w:highlight w:val="yellow"/>
        </w:rPr>
        <w:t xml:space="preserve">nh (vì khi tài sản hoàn thành sẽ được hạch toán sang phần tài sản dài hạn), tại phần nợ ngắn hạn có thể loại trừ các khoản phải trả người bán liên quan đến đầu tư TSCĐ (vì khoản này sẽ được trả bằng nguồn vốn vay dài hạn hoặc vốn chủ sở hữu của khách hàng)</w:t>
      </w:r>
      <w:r>
        <w:rPr>
          <w:rFonts w:eastAsia="Calibri"/>
          <w:i/>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khác, gồm: vốn chiếm dụng, vốn chủ sở hữu cam kết bổ sung, </w:t>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chiếm dụng bao gồm: Phải trả người bán + Người mua trả tiền </w:t>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Vốn chiếm dụng kỳ kế hoạch có thể căn cứ trên cơ sở vố</w:t>
      </w:r>
      <w:r>
        <w:rPr>
          <w:rFonts w:ascii="Times New Roman" w:hAnsi="Times New Roman" w:cs="Times New Roman"/>
          <w:sz w:val="26"/>
          <w:szCs w:val="26"/>
          <w:highlight w:val="yellow"/>
        </w:rPr>
        <w:t xml:space="preserve">n chiếm dụng bình quân của các năm trước liền kề (căn cứ số liệu trên báo cáo tài chính của doanh nghiệp tối thiểu 02 năm) hoặc số phát sinh trong năm/kỳ kế hoạch dựa trên cơ sở các hợp đồng kinh tế, hợp đồng thi công xây lắp,… thực hiện trong kỳ kế hoạch.</w:t>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chủ sở hữu cam kết bổ sung trong kỳ kế hoạch: căn cứ vào Nghị quyết Đại hội đồng cổ đông/Hội đồng thành viên về kế hoạch tăng vốn trong kỳ kế hoạch để xác định.</w:t>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vay các TCTD khác được xác định căn cứ trên kế hoạch, nhu cầu vay vốn của khách hàng tại từng TCTD (nêu rõ tên các TCTD, số tiền cụ thể tại từng TCTD).</w:t>
      </w:r>
      <w:r>
        <w:rPr>
          <w:sz w:val="26"/>
          <w:szCs w:val="26"/>
          <w:highlight w:val="yellow"/>
        </w:rPr>
      </w:r>
    </w:p>
    <w:p>
      <w:pPr>
        <w:pBdr/>
        <w:spacing/>
        <w:ind w:firstLine="567"/>
        <w:jc w:val="both"/>
        <w:rPr>
          <w:rFonts w:eastAsia="Calibri"/>
          <w:iCs/>
          <w:sz w:val="26"/>
          <w:szCs w:val="26"/>
        </w:rPr>
      </w:pPr>
      <w:r>
        <w:rPr>
          <w:sz w:val="26"/>
          <w:szCs w:val="26"/>
          <w:highlight w:val="yellow"/>
        </w:rPr>
        <w:t xml:space="preserve">- Agribank nơi cho vay đánh giá tính khả thi phần vốn vay các TCTD khác kỳ kế hoạch trên cơ sở thông tin dư nợ bình quân năm trước liền kề (theo CIC, báo cáo tài chính) và các tài liệu chứng minh (nếu có)</w:t>
      </w:r>
      <w:r>
        <w:rPr>
          <w:rFonts w:eastAsia="Calibri"/>
          <w:iCs/>
          <w:sz w:val="26"/>
          <w:szCs w:val="26"/>
        </w:rPr>
      </w:r>
    </w:p>
    <w:p>
      <w:pPr>
        <w:pBdr/>
        <w:spacing/>
        <w:ind w:firstLine="567"/>
        <w:jc w:val="both"/>
        <w:rPr>
          <w:rFonts w:eastAsia="Calibri"/>
          <w:sz w:val="26"/>
          <w:szCs w:val="26"/>
        </w:rPr>
      </w:pPr>
      <w:r>
        <w:rPr>
          <w:sz w:val="26"/>
          <w:szCs w:val="26"/>
        </w:rPr>
        <w:t xml:space="preserve">- Nguồn trả nợ: Từ doanh thu và lợi nhuận của phương án</w:t>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5. Tính khả thi của phương án</w:t>
      </w:r>
      <w:r>
        <w:rPr>
          <w:b/>
          <w:bCs/>
          <w:sz w:val="26"/>
          <w:szCs w:val="28"/>
        </w:rPr>
      </w:r>
    </w:p>
    <w:p>
      <w:pPr>
        <w:pBdr/>
        <w:spacing/>
        <w:ind w:firstLine="567"/>
        <w:jc w:val="both"/>
        <w:rPr>
          <w:sz w:val="26"/>
          <w:szCs w:val="26"/>
        </w:rPr>
      </w:pPr>
      <w:r>
        <w:rPr>
          <w:rFonts w:ascii="Times New Roman" w:hAnsi="Times New Roman" w:cs="Times New Roman"/>
          <w:sz w:val="26"/>
          <w:szCs w:val="26"/>
        </w:rPr>
        <w:t xml:space="preserve">- Thị trường tiêu thụ sản phẩm:</w:t>
      </w:r>
      <w:r>
        <w:rPr>
          <w:sz w:val="26"/>
          <w:szCs w:val="26"/>
        </w:rPr>
      </w:r>
    </w:p>
    <w:p>
      <w:pPr>
        <w:pBdr/>
        <w:spacing/>
        <w:ind w:firstLine="567"/>
        <w:jc w:val="both"/>
        <w:rPr>
          <w:rFonts w:eastAsia="Calibri"/>
          <w:sz w:val="26"/>
          <w:szCs w:val="26"/>
          <w:highlight w:val="yellow"/>
        </w:rPr>
      </w:pPr>
      <w:r>
        <w:rPr>
          <w:sz w:val="26"/>
          <w:szCs w:val="26"/>
          <w:highlight w:val="yellow"/>
        </w:rPr>
        <w:t xml:space="preserve">- Xem xét nhu cầu của thị trường và khả năng đáp ứng hiện tại và dự kiến nhu cầu trong tương lai về sản phẩm, dịch vụ đầu ra của phương án.</w:t>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Phương thức và mạng lưới phân phối</w:t>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đã có hợp đồng đầu ra: Xem xét hợp đồng, đặc biệt là các điều khoản về hàng hoá, chất lượng, hiệu lực hợp đồng, thời hạn giao hàng, điều khoản thanh toán. </w:t>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chưa có hợp đồng đầu ra: Phân tích tình hình tiêu thụ mặt hàng đó trên thị trường, tình hình tồn kho để đánh giá khả năng tiêu thụ (lưu ý trường hợp khách hàng mới kinh doanh mặt hàng đó, chưa có kinh nghiệm trên thị trường); </w:t>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Đối với phương án sản xuất hoặc thi công xây dựng: Đánh giá khả năng tổ chức sản xuất và tiêu thụ, hoặc thi công của khách hàng, bao gồm xem xét công suất, năng lực sản xuất, thi công c</w:t>
      </w:r>
      <w:r>
        <w:rPr>
          <w:sz w:val="26"/>
          <w:szCs w:val="26"/>
          <w:highlight w:val="yellow"/>
        </w:rPr>
        <w:t xml:space="preserve">ủa doanh nghiệp. Kế hoạch và tiến độ sản xuất, thi công. Các chính sách, phương thức bán hàng tiêu thụ sản phẩm. Sản lượng, doanh số bán hàng của loại sản phẩm đó hàng tháng cũng như trong thời kỳ trước đó và dự kiến tình hình tiêu thụ trong thời gian tới.</w:t>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Mạng lưới phân phối: Phân tích mạng lưới phân phối, tiêu thụ sản phẩm của DN</w:t>
      </w:r>
      <w:r>
        <w:rPr>
          <w:rFonts w:eastAsia="Calibri"/>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Cần lưu ý trường hợp sản phẩm xuất khẩu, các sản phẩm có tính đặc thù</w:t>
      </w:r>
      <w:r>
        <w:rPr>
          <w:sz w:val="26"/>
          <w:szCs w:val="26"/>
        </w:rPr>
      </w:r>
    </w:p>
    <w:p>
      <w:pPr>
        <w:pBdr/>
        <w:spacing/>
        <w:ind w:firstLine="567"/>
        <w:jc w:val="both"/>
        <w:rPr>
          <w:sz w:val="26"/>
          <w:szCs w:val="26"/>
        </w:rPr>
      </w:pPr>
      <w:r>
        <w:rPr>
          <w:rFonts w:ascii="Times New Roman" w:hAnsi="Times New Roman" w:cs="Times New Roman"/>
          <w:sz w:val="26"/>
          <w:szCs w:val="26"/>
        </w:rPr>
        <w:t xml:space="preserve">- Thị trường cung cấp nguyên, nhiên, vật liệu và các yếu tố đầu vào khác:</w:t>
      </w:r>
      <w:r>
        <w:rPr>
          <w:sz w:val="26"/>
          <w:szCs w:val="26"/>
        </w:rPr>
      </w:r>
    </w:p>
    <w:p>
      <w:pPr>
        <w:pBdr/>
        <w:spacing/>
        <w:ind w:firstLine="567"/>
        <w:jc w:val="both"/>
        <w:rPr>
          <w:rFonts w:eastAsia="Calibri"/>
          <w:sz w:val="26"/>
          <w:szCs w:val="26"/>
          <w:highlight w:val="yellow"/>
        </w:rPr>
      </w:pPr>
      <w:r>
        <w:rPr>
          <w:sz w:val="26"/>
          <w:szCs w:val="26"/>
          <w:highlight w:val="yellow"/>
        </w:rPr>
        <w:t xml:space="preserve">- Xem xét khả năng cung ứng, sự đa dạng của các nguồn cung trên thị trường và uy tín của các nhà cung cấp.</w:t>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Biến động giá cả và các yếu tố ảnh hưởng đến giá cả các nguyên liệu đầu vào trên thị trường.</w:t>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Cần lưu ý trường hợp phải nhập khẩu, các nguyên nhiên liệu có tính đặc thù, đòi hỏi phải có vùng nguyên liệu tập trung như các DN chế biến gỗ, nông sản…</w:t>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doanh nghiệp sản xuất để bán: doanh nghiệp cần bao nhiêu nguyên nhiên vật liệu đầu vào để phục vụ sản xuất? Có bao nhiêu nhà cung cấp nguyên liệu đầu vào? Họ là những khách hàng có</w:t>
      </w:r>
      <w:r>
        <w:rPr>
          <w:sz w:val="26"/>
          <w:szCs w:val="26"/>
          <w:highlight w:val="yellow"/>
        </w:rPr>
        <w:t xml:space="preserve"> quan hệ từ trước hay mới thiết lập, khả năng cung cứng và mức độ tín nhiệm như thế nào? Chính sách nhập khẩu đối với nguyên liệu, hàng hoá đầu vào (nếu có)? Biến động về giá mua, nhập khẩu nguyên nhiên liệu đầu vào, tỷ giá trong trường hợp phải nhập khẩu.</w:t>
      </w:r>
      <w:r>
        <w:rPr>
          <w:rFonts w:eastAsia="Calibri"/>
          <w:sz w:val="26"/>
          <w:szCs w:val="26"/>
          <w:highlight w:val="yellow"/>
        </w:rPr>
      </w:r>
    </w:p>
    <w:p>
      <w:pPr>
        <w:pBdr/>
        <w:spacing/>
        <w:ind w:firstLine="567"/>
        <w:jc w:val="both"/>
        <w:rPr>
          <w:b/>
          <w:bCs/>
          <w:i/>
          <w:sz w:val="26"/>
          <w:szCs w:val="26"/>
        </w:rPr>
      </w:pPr>
      <w:r>
        <w:rPr>
          <w:rFonts w:ascii="Times New Roman" w:hAnsi="Times New Roman" w:cs="Times New Roman"/>
          <w:b/>
          <w:bCs/>
          <w:i/>
          <w:iCs/>
          <w:sz w:val="26"/>
          <w:szCs w:val="26"/>
          <w:highlight w:val="yellow"/>
        </w:rPr>
        <w:t xml:space="preserve">- Trường hợp doanh nghiệp kinh doanh thương mại: Có bao nhiêu nhà cung cấp sản phẩm, chất lượng và giá cả thế nào? Mức độ tín nhiệm của các nhà cung cấp? Cơ chế chính sách đối với sản phẩm? Biến động về giá cả sản phẩm?</w:t>
      </w:r>
      <w:r>
        <w:rPr>
          <w:b/>
          <w:bCs/>
          <w:i/>
          <w:sz w:val="26"/>
          <w:szCs w:val="26"/>
        </w:rPr>
      </w:r>
    </w:p>
    <w:p>
      <w:pPr>
        <w:pBdr/>
        <w:spacing/>
        <w:ind w:firstLine="567"/>
        <w:jc w:val="both"/>
        <w:rPr>
          <w:sz w:val="26"/>
          <w:szCs w:val="26"/>
        </w:rPr>
      </w:pPr>
      <w:r>
        <w:rPr>
          <w:rFonts w:ascii="Times New Roman" w:hAnsi="Times New Roman" w:cs="Times New Roman"/>
          <w:sz w:val="26"/>
          <w:szCs w:val="26"/>
        </w:rPr>
        <w:t xml:space="preserve">- Năng lực về máy móc thiết bị, công nghệ:</w:t>
      </w:r>
      <w:r>
        <w:rPr>
          <w:sz w:val="26"/>
          <w:szCs w:val="26"/>
        </w:rPr>
      </w:r>
    </w:p>
    <w:p>
      <w:pPr>
        <w:pBdr/>
        <w:spacing/>
        <w:ind w:firstLine="567"/>
        <w:jc w:val="both"/>
        <w:rPr>
          <w:rFonts w:eastAsia="Calibri"/>
          <w:sz w:val="26"/>
          <w:szCs w:val="26"/>
          <w:highlight w:val="yellow"/>
        </w:rPr>
      </w:pPr>
      <w:r>
        <w:rPr>
          <w:sz w:val="26"/>
          <w:szCs w:val="26"/>
          <w:highlight w:val="yellow"/>
        </w:rPr>
        <w:t xml:space="preserve">Đánh giá về năng lực máy móc thiết bị, dây chuyền công nghệ còn mới hay đã lạc hậu ? có phù hợp với tình hình sản xuất kinh doanh của Doanh nghiệp</w:t>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Đánh giá về tình hình lao động tại Công ty có phù hợp với quy mô hoạt động SXKD của Công ty ;</w:t>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 Năng lực quản trị, quản lý, điều hành kinh doanh: Ban lãnh đạo công ty có trình độ và kinh nghiệm quản lý, điều hành, đáp ứng đủ yêu cầu năng lực</w:t>
      </w:r>
      <w:r>
        <w:rPr>
          <w:sz w:val="26"/>
          <w:szCs w:val="26"/>
        </w:rPr>
      </w:r>
    </w:p>
    <w:p>
      <w:pPr>
        <w:pBdr/>
        <w:spacing/>
        <w:ind w:firstLine="567"/>
        <w:jc w:val="both"/>
        <w:rPr>
          <w:b/>
          <w:bCs/>
          <w:sz w:val="26"/>
          <w:szCs w:val="26"/>
        </w:rPr>
      </w:pPr>
      <w:r>
        <w:rPr>
          <w:rFonts w:ascii="Times New Roman" w:hAnsi="Times New Roman" w:cs="Times New Roman"/>
          <w:b/>
          <w:bCs/>
          <w:sz w:val="26"/>
          <w:szCs w:val="26"/>
        </w:rPr>
        <w:t xml:space="preserve">6. Nhận xét, đánh giá chung</w:t>
      </w:r>
      <w:r>
        <w:rPr>
          <w:b/>
          <w:bCs/>
          <w:sz w:val="26"/>
          <w:szCs w:val="26"/>
        </w:rPr>
      </w:r>
    </w:p>
    <w:p>
      <w:pPr>
        <w:pBdr/>
        <w:spacing/>
        <w:ind w:firstLine="567"/>
        <w:jc w:val="both"/>
        <w:rPr>
          <w:sz w:val="26"/>
          <w:szCs w:val="26"/>
        </w:rPr>
      </w:pPr>
      <w:r>
        <w:rPr>
          <w:rFonts w:ascii="Times New Roman" w:hAnsi="Times New Roman" w:cs="Times New Roman"/>
          <w:sz w:val="26"/>
          <w:szCs w:val="26"/>
        </w:rPr>
        <w:t xml:space="preserve">- Mục đích vay vốn phù hợp với ngành nghề đăng ký kinh doanh của Doanh nghiệp, hồ sơ vay vốn đầy đủ, hợp lệ.</w:t>
      </w:r>
      <w:r>
        <w:rPr>
          <w:sz w:val="26"/>
          <w:szCs w:val="26"/>
        </w:rPr>
      </w:r>
    </w:p>
    <w:p>
      <w:pPr>
        <w:pBdr/>
        <w:spacing/>
        <w:ind w:firstLine="567"/>
        <w:jc w:val="both"/>
        <w:rPr>
          <w:sz w:val="26"/>
          <w:szCs w:val="26"/>
        </w:rPr>
      </w:pPr>
      <w:r>
        <w:rPr>
          <w:rFonts w:ascii="Times New Roman" w:hAnsi="Times New Roman" w:cs="Times New Roman"/>
          <w:sz w:val="26"/>
          <w:szCs w:val="26"/>
        </w:rPr>
        <w:t xml:space="preserve">- Phương án sản xuất kinh doanh có hiệu quả, có tính khả thi.</w:t>
      </w:r>
      <w:r>
        <w:rPr>
          <w:sz w:val="26"/>
          <w:szCs w:val="26"/>
        </w:rPr>
      </w:r>
    </w:p>
    <w:p>
      <w:pPr>
        <w:pStyle w:val="846"/>
        <w:pBdr/>
        <w:tabs>
          <w:tab w:val="left" w:leader="none" w:pos="567"/>
        </w:tabs>
        <w:spacing w:line="240" w:lineRule="auto"/>
        <w:ind w:firstLine="567" w:left="0"/>
        <w:jc w:val="both"/>
        <w:rPr>
          <w:b/>
          <w:sz w:val="26"/>
        </w:rPr>
      </w:pPr>
      <w:r>
        <w:rPr>
          <w:b/>
          <w:bCs/>
          <w:sz w:val="26"/>
          <w:szCs w:val="26"/>
        </w:rPr>
        <w:t xml:space="preserve">IV. Biện pháp bảo đảm tiền vay  </w:t>
      </w:r>
      <w:r>
        <w:rPr>
          <w:b/>
          <w:sz w:val="26"/>
        </w:rPr>
      </w:r>
    </w:p>
    <w:p>
      <w:pPr>
        <w:pBdr/>
        <w:spacing/>
        <w:ind w:firstLine="567"/>
        <w:jc w:val="both"/>
        <w:rPr>
          <w:rFonts w:eastAsia="Calibri"/>
          <w:b/>
          <w:bCs/>
          <w:sz w:val="26"/>
          <w:szCs w:val="26"/>
          <w:highlight w:val="yellow"/>
        </w:rPr>
      </w:pPr>
      <w:r>
        <w:rPr>
          <w:b/>
          <w:bCs/>
          <w:sz w:val="26"/>
          <w:szCs w:val="26"/>
          <w:highlight w:val="yellow"/>
        </w:rPr>
        <w:t xml:space="preserve">* Trường hợp cho vay một phần không có tài sản bảo đảm thì trình bày như sau :</w:t>
      </w:r>
      <w:r>
        <w:rPr>
          <w:rFonts w:eastAsia="Calibri"/>
          <w:b/>
          <w:bCs/>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[Tên khách hàng]</w:t>
      </w:r>
      <w:r>
        <w:rPr>
          <w:rFonts w:ascii="Times New Roman" w:hAnsi="Times New Roman" w:cs="Times New Roman"/>
          <w:sz w:val="26"/>
          <w:szCs w:val="26"/>
        </w:rPr>
        <w:t xml:space="preserve">:</w:t>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[Kỳ chấm điểm] khách hàng xếp hạng [Xếp hạng KH theo Agribank], phân loại nợ: [Nhóm nợ]</w:t>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[Tên khách hàng]</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[Tỷ lệ % bảo đảm]%</w:t>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[Tổng giá trị TSBĐ]</w:t>
      </w:r>
      <w:r>
        <w:rPr>
          <w:sz w:val="26"/>
          <w:szCs w:val="26"/>
        </w:rPr>
        <w:t xml:space="preserve"> đồng</w:t>
      </w:r>
      <w:r>
        <w:rPr>
          <w:rFonts w:eastAsia="Calibri"/>
          <w:sz w:val="26"/>
          <w:szCs w:val="28"/>
        </w:rPr>
      </w:r>
    </w:p>
    <w:p>
      <w:pPr>
        <w:pBdr/>
        <w:shd w:val="clear" w:color="auto" w:fill="ffffff"/>
        <w:tabs>
          <w:tab w:val="left" w:leader="dot" w:pos="9214"/>
        </w:tabs>
        <w:spacing/>
        <w:ind w:firstLine="567"/>
        <w:jc w:val="both"/>
        <w:rPr>
          <w:rFonts w:eastAsia="Calibri"/>
          <w:sz w:val="26"/>
          <w:szCs w:val="28"/>
        </w:rPr>
      </w:pPr>
      <w:r>
        <w:rPr>
          <w:sz w:val="26"/>
          <w:szCs w:val="26"/>
        </w:rPr>
        <w:t xml:space="preserve">(Bằng chữ: [TGTTSBĐ bằng chữ])</w:t>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Nghĩa vụ được bảo đảm, phạm vi bảo đảm: </w:t>
      </w:r>
      <w:r>
        <w:rPr>
          <w:b/>
          <w:bCs/>
          <w:sz w:val="26"/>
          <w:szCs w:val="26"/>
        </w:rPr>
        <w:t xml:space="preserve">[Tổng nghĩa vụ bảo đảm]</w:t>
      </w:r>
      <w:r>
        <w:rPr>
          <w:sz w:val="26"/>
          <w:szCs w:val="26"/>
        </w:rPr>
        <w:t xml:space="preserve"> đồng</w:t>
      </w:r>
      <w:r>
        <w:rPr>
          <w:rFonts w:eastAsia="Calibri"/>
          <w:bCs/>
          <w:sz w:val="26"/>
          <w:szCs w:val="28"/>
        </w:rPr>
      </w:r>
    </w:p>
    <w:p>
      <w:pPr>
        <w:pBdr/>
        <w:shd w:val="clear" w:color="auto" w:fill="ffffff"/>
        <w:spacing/>
        <w:ind w:firstLine="567"/>
        <w:jc w:val="both"/>
        <w:rPr>
          <w:rFonts w:eastAsia="Calibri"/>
          <w:bCs/>
          <w:sz w:val="26"/>
          <w:szCs w:val="28"/>
        </w:rPr>
      </w:pPr>
      <w:r>
        <w:rPr>
          <w:sz w:val="26"/>
          <w:szCs w:val="26"/>
        </w:rPr>
        <w:t xml:space="preserve">- Mức cho vay có bảo đảm bằng tài sản: [Tỷ lệ % bảo đảm]%</w:t>
      </w:r>
      <w:r>
        <w:rPr>
          <w:rFonts w:eastAsia="Calibri"/>
          <w:bCs/>
          <w:sz w:val="26"/>
          <w:szCs w:val="28"/>
        </w:rPr>
      </w:r>
    </w:p>
    <w:p>
      <w:pPr>
        <w:pBdr/>
        <w:spacing/>
        <w:ind w:firstLine="567"/>
        <w:jc w:val="both"/>
        <w:rPr>
          <w:rFonts w:eastAsia="Calibri"/>
          <w:bCs/>
          <w:sz w:val="26"/>
          <w:szCs w:val="28"/>
        </w:rPr>
      </w:pPr>
      <w:r>
        <w:rPr>
          <w:sz w:val="26"/>
          <w:szCs w:val="26"/>
        </w:rPr>
        <w:t xml:space="preserve">* Nhận xét về TSBĐ: tài sản bảo đảm không thuộc Danh mục tài sản không được nhận làm tài sản bảo đảm; đủ điều kiện nhận làm TSBĐ theo quy định.</w:t>
      </w:r>
      <w:r>
        <w:rPr>
          <w:rFonts w:eastAsia="Calibri"/>
          <w:bCs/>
          <w:sz w:val="26"/>
          <w:szCs w:val="28"/>
        </w:rPr>
      </w:r>
    </w:p>
    <w:p>
      <w:pPr>
        <w:pBdr/>
        <w:spacing/>
        <w:ind w:firstLine="567"/>
        <w:jc w:val="both"/>
        <w:rPr>
          <w:rFonts w:eastAsia="Calibri"/>
          <w:b/>
          <w:sz w:val="26"/>
        </w:rPr>
      </w:pPr>
      <w:r>
        <w:rPr>
          <w:b/>
          <w:bCs/>
          <w:sz w:val="26"/>
          <w:szCs w:val="26"/>
        </w:rPr>
        <w:t xml:space="preserve">V. Rủi ro và các biện pháp giảm thiểu rủi ro</w:t>
      </w:r>
      <w:r>
        <w:rPr>
          <w:rFonts w:eastAsia="Calibri"/>
          <w:b/>
          <w:sz w:val="26"/>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Một </w:t>
      </w:r>
      <w:r>
        <w:rPr>
          <w:sz w:val="26"/>
          <w:szCs w:val="26"/>
          <w:highlight w:val="yellow"/>
        </w:rPr>
        <w:t xml:space="preserve">dự án đầu tư, từ khâu chuẩn bị đầu tư đến thực hiện đầu tư và đi vào hoạt động có thể xẩy ra nhiều loại rủi ro khác nhau (do nguyên nhân chủ quan hoặc khách quan), việc tính toán khả năng tài chính của dự án như đã giới thiệu ở trên chỉ đúng trong trường h</w:t>
      </w:r>
      <w:r>
        <w:rPr>
          <w:sz w:val="26"/>
          <w:szCs w:val="26"/>
          <w:highlight w:val="yellow"/>
        </w:rPr>
        <w:t xml:space="preserve">ợp dự án không bị ảnh hưởng bởi rủi ro có thể xảy ra. Vì vậy, việc đánh giá, phân tích, dự đoán các rủi ro có thể xảy ra là rất quan trọng nhằm tăng tính khả thi của phương án tính toán dự kiến cũng như chủ động có biện pháp phòng ngừa, giảm thiểu rủi ro. </w:t>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Có rất nhiều loại rủi ro, các rủi ro có mối quan hệ và có nhiều nguyên nhân. Mỗi loại hình dự án, trong một điều kiện thường phát sinh n</w:t>
      </w:r>
      <w:r>
        <w:rPr>
          <w:sz w:val="26"/>
          <w:szCs w:val="26"/>
          <w:highlight w:val="yellow"/>
        </w:rPr>
        <w:t xml:space="preserve">hững loại rủi ro khác nhau, nên phải nhận diện được các loại rủi ro chủ yếu, những loại rủi ro có tần xuất phát sinh cao đối với dự án với điều kiện nhất định. Đặc biệt phải đưa ra mức độ rủi ro và biện pháp giảm thiểu rủi ro đến mức có thể chấp nhận được.</w:t>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Dưới đây là phân loại một số rủi ro chủ yếu thường xảy ra đối với dự án cụ thể và biện pháp hạn chế rủi ro.</w:t>
      </w:r>
      <w:r>
        <w:rPr>
          <w:rFonts w:eastAsia="Calibri"/>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1. Rủi ro chính sách</w:t>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chính sách</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được xem là gồm (i) những bất ổn về chính sách của nơi/địa điểm xây dựng dự án, bao gồm: các sắc th</w:t>
      </w:r>
      <w:r>
        <w:rPr>
          <w:sz w:val="26"/>
          <w:szCs w:val="26"/>
        </w:rPr>
        <w:t xml:space="preserve">uế mới, hạn chế về chuyển tiền, quốc hữu hoá, tư hữu hóa hay các luật, nghị quyết, nghị định và các chế tài khác có liên quan tới dòng tiền của dự án; (ii) Hiệu quả việc thực thi chính sách và (iii) Tính khả thi việc thực hiện cam kết thực hiện chính sách.</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chính sách có mối quan hệ, tác động qua lại với rủi ro kinh tế vĩ mô nêu ở điểm VII phần này.</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Khi thẩm định dự án, phải xem xét mức độ tuân thủ của dự án (thể hiện trong hồ sơ dự án) để đảm bảo chấp hành nghiêm ngặt các luật và quy định hiện hành có liên quan tới dự án.</w:t>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Chủ đầu tư nên có những hợp đồng ưu đãi riêng qui định về vấn đề này (bất khả kháng do Chính phủ, ...).</w:t>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Những bảo lãnh cụ thể về cung cấp ngoại hối sẽ góp phần hạn chế ảnh hưởng tiêu cực tới dự án.</w:t>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Hỗ trợ/bảo hiểm tín dụng xuất khẩu.</w:t>
      </w:r>
      <w:r>
        <w:rPr>
          <w:sz w:val="26"/>
          <w:szCs w:val="28"/>
        </w:rPr>
      </w:r>
    </w:p>
    <w:p>
      <w:pPr>
        <w:pBdr/>
        <w:tabs>
          <w:tab w:val="num" w:leader="none" w:pos="0"/>
          <w:tab w:val="left" w:leader="none" w:pos="1080"/>
          <w:tab w:val="left" w:leader="none" w:pos="8640"/>
        </w:tabs>
        <w:spacing/>
        <w:ind w:firstLine="567"/>
        <w:jc w:val="both"/>
        <w:rPr>
          <w:rFonts w:eastAsia="Calibri"/>
          <w:b/>
          <w:sz w:val="26"/>
          <w:szCs w:val="28"/>
        </w:rPr>
      </w:pPr>
      <w:r>
        <w:rPr>
          <w:b/>
          <w:bCs/>
          <w:sz w:val="26"/>
          <w:szCs w:val="26"/>
        </w:rPr>
        <w:t xml:space="preserve">2. Rủi ro thị trường đầu vào</w:t>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vào</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có được nguồn vật tư, thiết bị, nguyên nhiên vật liệu (đầu vào chính/quan trọng) với số lượng, giá cả và chất lượng như dự kiến để vận hành dự án, tạo dòng tiền ổn định, đảm bảo khả năng trả nợ.</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có thể xảy ra trong quá trình xây dựng và vận hành dự án.</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có mối quan hệ, có thể là một trong những nguyên nhân dẫn đến rủi ro tiến độ nêu tại điểm V phần này.</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 đầu vào</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yếu tố đầu vào phải nhập khẩu, đặc biệt các loại vật tư, thiết bị, nguyên liệu, năng lượng có số ít nhà cung cấp.</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sử dụng nguồn nguyên liệu đầu vào có tính thời vụ, phụ thuộc vào điều kiện thiên nhiên, yếu tố xã hội như dự án chế biến nông sản, sản xuất bột giấy…</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nguồn tài nguyên thiên nhiên chưa được khảo sát, đánh giá kỹ; dự án sử dụng nguồn tài nguyên ngày càng suy giảm.</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loại nguyên liệu, nhiên liệu chủ yếu không thể thay thế.</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w:t>
      </w:r>
      <w:r>
        <w:rPr>
          <w:rFonts w:ascii="Times New Roman" w:hAnsi="Times New Roman" w:cs="Times New Roman"/>
          <w:sz w:val="26"/>
          <w:szCs w:val="26"/>
        </w:rPr>
        <w:t xml:space="preserve">rong quá trình xem xét dự án, Người thẩm định phải nghiên cứu, đánh giá cẩn trọng các báo cáo về chất lượng, trữ lượng nguyên vật liệu đầu vào trong hồ sơ dự án. Đưa ra những nhận định ngay từ ban đầu trong tính toán, xác định hiệu quả tài chính của dự án.</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sự cạnh tranh giữa các nguồn cung cấp vật tư.</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Linh hoạt về thời gian và số lượng nguyên nhiên vật liệu mua vào.</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đồng/thoả thuận với cơ chế chuyển qua tới người sử dụng cuối cùng.</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 cung cấp nguyên vật liệu đầu vào dài hạn với nhà cung cấp có uy tín.</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3. Rủi ro thị trường đầu ra</w:t>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ra</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của dự án sản xuất ra không tiêu thụ được theo sản lượng, giá cả dự tính.</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sản xuất hàng xuất khẩu.</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trường tiêu thụ, đối tượng người tiêu dùng không đa dạng.</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Sản phẩm là mặt hàng không phổ biến.</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hiếu về sản phẩm thay đổi và không sản xuất được sản phẩm thay thế. </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p>
    <w:p>
      <w:pPr>
        <w:pBdr/>
        <w:tabs>
          <w:tab w:val="num" w:leader="none" w:pos="0"/>
          <w:tab w:val="left" w:leader="none" w:pos="8640"/>
        </w:tabs>
        <w:spacing/>
        <w:ind w:firstLine="567"/>
        <w:jc w:val="both"/>
        <w:rPr>
          <w:sz w:val="26"/>
          <w:szCs w:val="28"/>
        </w:rPr>
      </w:pPr>
      <w:r>
        <w:rPr>
          <w:rFonts w:ascii="Times New Roman" w:hAnsi="Times New Roman" w:cs="Times New Roman"/>
          <w:sz w:val="26"/>
          <w:szCs w:val="26"/>
        </w:rPr>
        <w:t xml:space="preserve">Loại rủi ro này có thể giảm thiểu bằng cách:</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thị trường, đánh giá phân tích thị trường, thị phần cẩn thận. Đặc biệt phân tích thị trường, khả năng cạnh tranh khi từng bước hội nhập thị trường thế giới.</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Dự kiến Cung - Cầu thận trọng (không nên có những dự báo quá lạc quan).</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Phân tích về khả năng thanh toán, thiện ý, hành vi của người tiêu dùng cuối cùng (không chỉ người bao tiêu).</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Tăng sức cạnh tranh của sản phẩm, dịch vụ đầu ra của dự án bằng các biện pháp: phân tích về việc cải tiến mẫu mã, nâng cao chất lượng sản phẩm, tiết kiệm chi phí sản xuất...</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Xem xét các hợp đồng bao tiêu sản phẩm dài hạn với bên có khả năng về tài chính (nếu có).</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Hỗ trợ bao tiêu sản phẩm của Chính phủ (nếu có).</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Khả năng linh hoạt của cơ cấu sản phẩm, dịch vụ đầu ra.</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Giảm thiểu các điều khoản không cạnh tranh (nếu có).</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Xác định công xuất thực tế, giá bán sản phẩm không quá lạc quan. </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4. Rủi ro kỹ thuật - công nghệ</w:t>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kỹ thuật - công nghệ</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Đây là những rủi ro về việc dự án không thể vận hành và bảo trì ở mức độ phù hợp với các thông số thiết kế ban đầu. </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sản xuất ra không phù hợp với thị hiếu và giá cả sau một thời gian chưa đủ thu hồi vốn.</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Mức tiêu hao nguyên liệu, năng lượng, nhân công lớn.</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Không đáp ứng yêu cầu bảo vệ môi trường (mối quan hệ với rủi ro môi trường điểm VI phần này).</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kỹ thuật – công nghệ</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áp dụng công nghệ lạc hậu.</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với công nghệ quá tiên tiến không có khả năng vận hành. Chi phí đầu tư lớn, thời gian thu hồi vốn dài.</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đã qua sử dụng.</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ở các thị trường độ tin cậy thấp (như Trung Quốc).</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p>
    <w:p>
      <w:pPr>
        <w:pBdr/>
        <w:tabs>
          <w:tab w:val="num" w:leader="none" w:pos="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Sử dụng công nghệ đã được kiểm chứng.</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Bộ phận vận hành dự án phải được đào tạo tốt, có kinh nghiệm.</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Có thể ký hợp đồng vận hành và bảo trì với những điều khoản khuyến khích và phạt vi phạm rõ ràng.</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Bảo hiểm các sự kiện bất khả kháng tự nhiên như lụt lội, động đất, chiến tranh.</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Kiểm soát ngân sách và kế hoạch vận hành.</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Quyền thay thế người vận hành do không thực hiện đầy đủ nghĩa vụ.</w:t>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5. Rủi ro tiến độ</w:t>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tiến độ</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hoàn thành đúng thời hạn, không phù hợp với các thông số và tiêu chuẩn thực hiện. Từ đó dẫn đến chi phí đầu tư tăng, mất cơ hội tạo nguồn thu, thời gian hoàn vốn kéo dài.</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tiến độ</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điều kiện thi công khó khăn, phụ thuộc nhiều vào yếu tố thiện nhiên, các yếu tố về địa hình, địa chất như thủy điện.</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áp dụng công nghệ cao, công nghệ mới.</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phần lớn các yếu tố nhập khẩu.</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Nhà thầu xây dựng năng lực kém.</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phải giải phóng mặt bằng diện tích lớn, nhiều dân cư.</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nằm ngoài khả năng điều chỉnh, kiểm soát của Ngân hàng, tuy nhiên có thể giảm thiểu bằng cách đề xuất với chủ đầu tư thực hiện các biện pháp sau:</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Rà soát, đánh giá, thẩm định kỹ trong quá trình lập phê duyệt dự án của chủ đầu tư cũng như Ngân hàng.</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Lựa chọn nhà thầu xây dựng uy tín, có sức mạnh tài chính và kinh nghiệm. Việc lựa chọn này càng chặt chẽ, minh bạch, và khách quan sẽ góp phần giảm thiểu những rủi ro loại này.</w:t>
      </w:r>
      <w:r>
        <w:rPr>
          <w:rFonts w:eastAsia="Calibri"/>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Thực hiện nghiêm túc việc bảo lãnh thực hiện hợp đồng, bảo hành chất lượng công trình.</w:t>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Giám sát chặt chẽ trong quá trình xây dựng.</w:t>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Hỗ trợ của các cấp có thẩm quyền, dự phòng về tài chính của khách hàng trong trường hợp vượt dự toán.</w:t>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Quy định rõ trách nhiệm vấn đề đền bù, giải toả mặt bằng.</w:t>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Hợp đồng giá cố định hoặc chìa khóa trao tay với sự phân chia rõ ràng nghĩa vụ của các bên.</w:t>
      </w:r>
      <w:r>
        <w:rPr>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rPr>
        <w:t xml:space="preserve">6. Rủi ro môi trường trong hoạt động cấp tín dụng theo quy định của Agribank:</w:t>
      </w:r>
      <w:r>
        <w:rPr>
          <w:bCs/>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highlight w:val="yellow"/>
        </w:rPr>
        <w:t xml:space="preserve">tham khảo hướng dẫn tại quy định quản lý rủi ro về môi trường trong hoạt động cấp tín dụng số 1289/QyĐ-NHNo-RRTD ngày 31/5/2023 của Tổng Giám đốc Agribank.</w:t>
      </w:r>
      <w:r>
        <w:rPr>
          <w:bCs/>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môi trường và xã hội</w:t>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Những tác động tiêu cực của dự án đối với môi trường và người dân xung quanh.</w:t>
      </w:r>
      <w:r>
        <w:rPr>
          <w:rFonts w:eastAsia="Calibri"/>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môi trường và xã hội</w:t>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sử dụng nhiều nguồn tài nguyên tự nhiên như thủy điện, nhiệt điện, dự án sử dụng nhiều đất đai.</w:t>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ngành hóa chất.</w:t>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p>
    <w:p>
      <w:pPr>
        <w:pBdr/>
        <w:tabs>
          <w:tab w:val="num" w:leader="none" w:pos="0"/>
          <w:tab w:val="left" w:leader="none" w:pos="72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Báo cáo đánh giá tác động môi trường (ĐTM) phải khách quan và toàn diện, được cấp có thẩm quyền phê duyệt.</w:t>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Nên có sự tham gia của các bên liên quan (cơ quan quản lý môi trường, chính quyền địa phương) từ khi bắt đầu triển khai dự án.</w:t>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Tuân thủ các quy định về môi trường.</w:t>
      </w:r>
      <w:r>
        <w:rPr>
          <w:sz w:val="26"/>
          <w:szCs w:val="28"/>
        </w:rPr>
      </w:r>
    </w:p>
    <w:p>
      <w:pPr>
        <w:pBdr/>
        <w:tabs>
          <w:tab w:val="num" w:leader="none" w:pos="360"/>
          <w:tab w:val="left" w:leader="none" w:pos="8640"/>
        </w:tabs>
        <w:spacing/>
        <w:ind w:firstLine="567"/>
        <w:jc w:val="both"/>
        <w:rPr>
          <w:b/>
          <w:sz w:val="26"/>
          <w:szCs w:val="28"/>
        </w:rPr>
      </w:pPr>
      <w:r>
        <w:rPr>
          <w:rFonts w:ascii="Times New Roman" w:hAnsi="Times New Roman" w:cs="Times New Roman"/>
          <w:b/>
          <w:bCs/>
          <w:sz w:val="26"/>
          <w:szCs w:val="26"/>
        </w:rPr>
        <w:t xml:space="preserve">7. Rủi ro kinh tế vĩ mô, giá cả, tỷ giá, lãi suất</w:t>
      </w:r>
      <w:r>
        <w:rPr>
          <w:b/>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kinh tế vĩ mô, giá cả, tỷ giá, lãi suất</w:t>
      </w:r>
      <w:r>
        <w:rPr>
          <w:sz w:val="26"/>
          <w:szCs w:val="28"/>
        </w:rPr>
      </w:r>
    </w:p>
    <w:p>
      <w:pPr>
        <w:pBdr/>
        <w:tabs>
          <w:tab w:val="num" w:leader="none" w:pos="0"/>
          <w:tab w:val="left" w:leader="none" w:pos="720"/>
          <w:tab w:val="left" w:leader="none" w:pos="8640"/>
        </w:tabs>
        <w:spacing/>
        <w:ind w:firstLine="567"/>
        <w:jc w:val="both"/>
        <w:rPr>
          <w:rFonts w:eastAsia="Calibri"/>
          <w:sz w:val="26"/>
          <w:szCs w:val="28"/>
          <w:highlight w:val="yellow"/>
        </w:rPr>
      </w:pPr>
      <w:r>
        <w:rPr>
          <w:sz w:val="26"/>
          <w:szCs w:val="26"/>
          <w:highlight w:val="yellow"/>
        </w:rPr>
        <w:t xml:space="preserve">Đây là những rủi ro phát sinh từ môi trường kinh tế vĩ mô, bao gồm tỷ giá hối đoái, lạm phát, lãi suất, v.v ...</w:t>
      </w:r>
      <w:r>
        <w:rPr>
          <w:rFonts w:eastAsia="Calibri"/>
          <w:sz w:val="26"/>
          <w:szCs w:val="28"/>
          <w:highlight w:val="yellow"/>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Rủi ro này có mối quan hệ với rủi ro thị trường đầu vào, đầu ra.</w:t>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Rủi ro làm cho vốn đầu tư tăng, chi phí tăng nhưng doanh thu không tăng tương ứng.</w:t>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rủi ro kinh tế vĩ mô, giá cả, tỷ giá, lãi suất</w:t>
      </w:r>
      <w:r>
        <w:rPr>
          <w:sz w:val="26"/>
          <w:szCs w:val="28"/>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Dự án phải sử dụng ngoại tệ để nhập khẩu.</w:t>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 Dự án vay bằng ngoại tệ nhưng không có nguồn thu bằng ngoại tệ.</w:t>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p>
    <w:p>
      <w:pPr>
        <w:pBdr/>
        <w:tabs>
          <w:tab w:val="num" w:leader="none" w:pos="0"/>
          <w:tab w:val="left" w:leader="none" w:pos="72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Phân tích các điều kiện kinh tế vĩ mô cơ bản.</w:t>
      </w:r>
      <w:r>
        <w:rPr>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Sử dụng các công cụ thị trường như hoán đổi và tự bảo hiểm.</w:t>
      </w:r>
      <w:r>
        <w:rPr>
          <w:sz w:val="26"/>
          <w:szCs w:val="28"/>
        </w:rPr>
      </w:r>
    </w:p>
    <w:p>
      <w:pPr>
        <w:pBdr/>
        <w:tabs>
          <w:tab w:val="num" w:leader="none" w:pos="360"/>
          <w:tab w:val="left" w:leader="none" w:pos="72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Bảo vệ trong các hợp đồng (ví dụ: chỉ số hoá, cơ chế chuyển qua, giá cả leo thang, bất khả kháng).</w:t>
      </w:r>
      <w:r>
        <w:rPr>
          <w:sz w:val="26"/>
          <w:szCs w:val="28"/>
        </w:rPr>
      </w:r>
    </w:p>
    <w:p>
      <w:pPr>
        <w:pBdr/>
        <w:tabs>
          <w:tab w:val="left" w:leader="none" w:pos="0"/>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Đảm bảo/cam kết của Nhà nước về phá giá tiền tệ và cung cấp ngoại hối (nếu được).</w:t>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8. Các rủi ro khác</w:t>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Năng lực tài chính của chủ đầu tư</w:t>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khả năng tham gia vốn đối ứng vào dự án theo cam kết. </w:t>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huy động đủ vốn theo kế hoạch để xây dựng và vận hành dự án.</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Khả năng vận hành dự án của chủ đầu tư</w:t>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kinh nghiệm trong lĩnh vực đầu tư.</w:t>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có sự liên kết, hợp tác trên thị trường, bị các đối thủ áp đặt.</w:t>
      </w:r>
      <w:r>
        <w:rPr>
          <w:rFonts w:eastAsia="Calibri"/>
          <w:sz w:val="26"/>
          <w:szCs w:val="28"/>
        </w:rPr>
      </w:r>
    </w:p>
    <w:p>
      <w:pPr>
        <w:pBdr/>
        <w:spacing/>
        <w:ind w:firstLine="567"/>
        <w:jc w:val="both"/>
        <w:rPr>
          <w:b/>
          <w:bCs/>
          <w:sz w:val="26"/>
          <w:szCs w:val="28"/>
        </w:rPr>
      </w:pPr>
      <w:r>
        <w:rPr>
          <w:rFonts w:ascii="Times New Roman" w:hAnsi="Times New Roman" w:cs="Times New Roman"/>
          <w:b/>
          <w:bCs/>
          <w:sz w:val="26"/>
          <w:szCs w:val="26"/>
        </w:rPr>
        <w:t xml:space="preserve">VI. Đánh giá điều kiện cho vay ngoại tệ: không</w:t>
      </w:r>
      <w:r>
        <w:rPr>
          <w:b/>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w:t>
      </w:r>
      <w:r>
        <w:rPr>
          <w:b/>
          <w:bCs/>
          <w:sz w:val="26"/>
          <w:szCs w:val="28"/>
        </w:rPr>
      </w:r>
    </w:p>
    <w:p>
      <w:pPr>
        <w:pBdr/>
        <w:spacing/>
        <w:ind w:firstLine="567"/>
        <w:jc w:val="both"/>
        <w:rPr>
          <w:sz w:val="26"/>
          <w:szCs w:val="28"/>
        </w:rPr>
      </w:pPr>
      <w:r>
        <w:rPr>
          <w:rFonts w:ascii="Times New Roman" w:hAnsi="Times New Roman" w:cs="Times New Roman"/>
          <w:sz w:val="26"/>
          <w:szCs w:val="26"/>
        </w:rPr>
        <w:t xml:space="preserve">1. Xác định người có liên quan của khách hàng, tổng dư nợ cấp tín dụng của khách hàng và người có liên quan tại Agribank: </w:t>
      </w:r>
      <w:r>
        <w:rPr>
          <w:sz w:val="26"/>
          <w:szCs w:val="28"/>
        </w:rPr>
      </w:r>
    </w:p>
    <w:tbl>
      <w:tblPr>
        <w:tblStyle w:val="82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Tên tổ chức/cá nhân</w:t>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Mã số ĐKKD/ CMND</w:t>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Mối quan hệ liên quan</w:t>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b/>
                <w:bCs/>
                <w:sz w:val="26"/>
                <w:szCs w:val="26"/>
                <w:shd w:val="clear" w:color="auto" w:fill="ffffff"/>
              </w:rPr>
            </w:pPr>
            <w:r>
              <w:rPr>
                <w:rFonts w:ascii="Times New Roman" w:hAnsi="Times New Roman" w:cs="Times New Roman"/>
                <w:b/>
                <w:bCs/>
                <w:sz w:val="26"/>
                <w:szCs w:val="26"/>
              </w:rPr>
              <w:t xml:space="preserve">Dư nợ tại gribank</w:t>
            </w:r>
            <w:r>
              <w:rPr>
                <w:b/>
                <w:bCs/>
                <w:sz w:val="26"/>
                <w:szCs w:val="26"/>
                <w:shd w:val="clear" w:color="auto" w:fill="ffffff"/>
              </w:rPr>
            </w:r>
          </w:p>
          <w:p>
            <w:pPr>
              <w:pBdr/>
              <w:spacing/>
              <w:ind/>
              <w:jc w:val="center"/>
              <w:rPr>
                <w:b/>
                <w:bCs/>
                <w:sz w:val="26"/>
                <w:szCs w:val="26"/>
                <w:shd w:val="clear" w:color="auto" w:fill="ffffff"/>
              </w:rPr>
            </w:pPr>
            <w:r>
              <w:rPr>
                <w:rFonts w:ascii="Times New Roman" w:hAnsi="Times New Roman" w:cs="Times New Roman"/>
                <w:b/>
                <w:bCs/>
                <w:sz w:val="26"/>
                <w:szCs w:val="26"/>
              </w:rPr>
              <w:t xml:space="preserve">(VND)</w:t>
            </w:r>
            <w:r>
              <w:rPr>
                <w:b/>
                <w:bCs/>
                <w:sz w:val="26"/>
                <w:szCs w:val="26"/>
                <w:shd w:val="clear" w:color="auto" w:fill="ffffff"/>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[STT]</w:t>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rPr>
                <w:sz w:val="26"/>
                <w:szCs w:val="26"/>
              </w:rPr>
            </w:pPr>
            <w:r>
              <w:rPr>
                <w:rFonts w:ascii="Times New Roman" w:hAnsi="Times New Roman" w:cs="Times New Roman"/>
                <w:sz w:val="26"/>
                <w:szCs w:val="26"/>
              </w:rPr>
              <w:t xml:space="preserve">[Tên tổ chức/Cá nhân]</w:t>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ĐKKD/CMND]</w:t>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[Mối liên quan]</w:t>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sz w:val="26"/>
                <w:szCs w:val="26"/>
              </w:rPr>
            </w:pPr>
            <w:r>
              <w:rPr>
                <w:rFonts w:ascii="Times New Roman" w:hAnsi="Times New Roman" w:cs="Times New Roman"/>
                <w:sz w:val="26"/>
                <w:szCs w:val="26"/>
              </w:rPr>
              <w:t xml:space="preserve">[Tổng số dư cấp tín dụng]</w:t>
            </w:r>
            <w:r>
              <w:rPr>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Cộng</w:t>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[Tổng Tổng số dư cấp tín dụng]</w:t>
            </w:r>
            <w:r>
              <w:rPr>
                <w:b/>
                <w:sz w:val="26"/>
                <w:szCs w:val="26"/>
              </w:rPr>
            </w:r>
          </w:p>
        </w:tc>
      </w:tr>
    </w:tbl>
    <w:p>
      <w:pPr>
        <w:pBdr/>
        <w:spacing/>
        <w:ind w:firstLine="567"/>
        <w:jc w:val="both"/>
        <w:rPr>
          <w:sz w:val="26"/>
          <w:szCs w:val="26"/>
        </w:rPr>
      </w:pPr>
      <w:r>
        <w:rPr>
          <w:rFonts w:ascii="Times New Roman" w:hAnsi="Times New Roman" w:cs="Times New Roman"/>
          <w:sz w:val="26"/>
          <w:szCs w:val="26"/>
        </w:rPr>
        <w:t xml:space="preserve">- Tổng dư nợ cấp tín dụng của khách hàng và người có liên quan tại Agribank là: </w:t>
      </w:r>
      <w:r>
        <w:rPr>
          <w:rFonts w:ascii="Times New Roman" w:hAnsi="Times New Roman" w:cs="Times New Roman"/>
          <w:b/>
          <w:bCs/>
          <w:sz w:val="26"/>
          <w:szCs w:val="26"/>
        </w:rPr>
        <w:t xml:space="preserve">[Dư nợ của KH và NLQ tại Agribank]</w:t>
      </w:r>
      <w:r>
        <w:rPr>
          <w:rFonts w:ascii="Times New Roman" w:hAnsi="Times New Roman" w:cs="Times New Roman"/>
          <w:sz w:val="26"/>
          <w:szCs w:val="26"/>
        </w:rPr>
        <w:t xml:space="preserve"> đồng.</w:t>
      </w:r>
      <w:r>
        <w:rPr>
          <w:sz w:val="26"/>
          <w:szCs w:val="26"/>
        </w:rPr>
      </w:r>
    </w:p>
    <w:p>
      <w:pPr>
        <w:pBdr/>
        <w:spacing/>
        <w:ind w:firstLine="567"/>
        <w:jc w:val="both"/>
        <w:rPr>
          <w:rFonts w:eastAsia="Calibri"/>
          <w:sz w:val="26"/>
          <w:szCs w:val="26"/>
        </w:rPr>
      </w:pPr>
      <w:r>
        <w:rPr>
          <w:sz w:val="26"/>
          <w:szCs w:val="26"/>
        </w:rPr>
        <w:t xml:space="preserve">2. Kết quả chấm điểm xếp hạng tín dụng nội bộ của khách hàng, bao gồm kết quả xếp hạng tín nhiệm tại các tổ chức tín dụng, chi nhánh ngân hàng nước ngoài khác (nếu có); Khách hàng xếp hạng [Xếp hạng KH theo CIC]</w:t>
      </w:r>
      <w:r>
        <w:rPr>
          <w:rFonts w:eastAsia="Calibri"/>
          <w:sz w:val="26"/>
          <w:szCs w:val="26"/>
        </w:rPr>
      </w:r>
    </w:p>
    <w:p>
      <w:pPr>
        <w:pBdr/>
        <w:spacing/>
        <w:ind w:firstLine="567"/>
        <w:jc w:val="both"/>
        <w:rPr>
          <w:rFonts w:eastAsia="Calibri"/>
          <w:sz w:val="26"/>
          <w:szCs w:val="26"/>
        </w:rPr>
      </w:pPr>
      <w:r>
        <w:rPr>
          <w:sz w:val="26"/>
          <w:szCs w:val="26"/>
        </w:rPr>
        <w:t xml:space="preserve">3. Đánh giá quy định về hạn chế cho vay, giới hạn cho vay, thẩm quyền cấp tín dụng:</w:t>
      </w:r>
      <w:r>
        <w:rPr>
          <w:rFonts w:eastAsia="Calibri"/>
          <w:sz w:val="26"/>
          <w:szCs w:val="26"/>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23 Quy chế số 656/QC-HĐTV-TD ngày 31/08/2023 của Hội đồng thành viên Agribank về Quy chế cho vay đối với khách hàng trong hệ thống Agribank (QC 656): khách hàng không thuộc đối tượng hạn chế cấp tín dụng</w:t>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24 QC 656 (Cấp tín dụng đối với Giám đốc, Phó Giám đốc chi nhánh và các chức danh tương đương): khách hàng không thuộc đối tượng</w:t>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25 QC 656 (Giới hạn cấp tín dụng): tổng mức dư cấp tín dụng đối với một khách hàng và người có liên quan không vượt quá giới hạn cấp tín dụng</w:t>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Quyết định số 204 và 545/QĐ-HĐTV-TD của Hội đồng thành viên Agribank về ban hành Quy định phân cấp quyết định cấp tín dụng trong hệ thống Agribank và Quyết định sửa đổi bổ sung, rà soát thẩm quyền phê duyệt cấp tín dụng đối với khoản vay:</w:t>
      </w:r>
      <w:r>
        <w:rPr>
          <w:sz w:val="26"/>
          <w:szCs w:val="28"/>
        </w:rPr>
      </w:r>
    </w:p>
    <w:p>
      <w:pPr>
        <w:pBdr/>
        <w:spacing/>
        <w:ind w:firstLine="567"/>
        <w:jc w:val="both"/>
        <w:rPr>
          <w:rFonts w:eastAsia="Calibri"/>
          <w:bCs/>
          <w:sz w:val="26"/>
          <w:szCs w:val="26"/>
        </w:rPr>
      </w:pPr>
      <w:r>
        <w:rPr>
          <w:sz w:val="26"/>
          <w:szCs w:val="26"/>
        </w:rPr>
        <w:t xml:space="preserve">- Công thức xác định như sau :</w:t>
      </w:r>
      <w:r>
        <w:rPr>
          <w:rFonts w:eastAsia="Calibri"/>
          <w:bCs/>
          <w:sz w:val="26"/>
          <w:szCs w:val="26"/>
        </w:rPr>
      </w:r>
    </w:p>
    <w:tbl>
      <w:tblPr>
        <w:tblStyle w:val="82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Thẩm quyền cấp  tín dụng đối với một khách hàng và người có liên quan</w:t>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01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Tổng thẩm quyền cấp tín dụng của Giám đốc chi nhánh đối với các khách hàng thuộc nhóm khách hàng và người liên quan</w:t>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[100% - 10%*(n-1)]</w:t>
            </w:r>
            <w:r>
              <w:rPr>
                <w:b/>
                <w:sz w:val="26"/>
                <w:szCs w:val="26"/>
              </w:rPr>
            </w:r>
          </w:p>
        </w:tc>
      </w:tr>
    </w:tbl>
    <w:p>
      <w:pPr>
        <w:pBdr/>
        <w:spacing w:before="120"/>
        <w:ind w:firstLine="567"/>
        <w:jc w:val="both"/>
        <w:rPr>
          <w:sz w:val="26"/>
          <w:szCs w:val="26"/>
        </w:rPr>
      </w:pPr>
      <w:r>
        <w:rPr>
          <w:rFonts w:ascii="Times New Roman" w:hAnsi="Times New Roman" w:cs="Times New Roman"/>
          <w:sz w:val="26"/>
          <w:szCs w:val="26"/>
        </w:rPr>
        <w:t xml:space="preserve">Trong đó n là số khách hàng và người có liên quan có quan hệ tín dụng với Chi nhánh (trường hợp n&gt;5 thì tính n=5). Cụ thể đối với trường hợp này n = ...</w:t>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(CBTD nhập giá trị “n” vào)</w:t>
      </w:r>
      <w:r>
        <w:rPr>
          <w:sz w:val="26"/>
          <w:szCs w:val="26"/>
        </w:rPr>
      </w:r>
    </w:p>
    <w:p>
      <w:pPr>
        <w:pBdr/>
        <w:spacing/>
        <w:ind w:firstLine="567"/>
        <w:jc w:val="both"/>
        <w:rPr>
          <w:sz w:val="26"/>
          <w:szCs w:val="26"/>
        </w:rPr>
      </w:pPr>
      <w:r>
        <w:rPr>
          <w:rFonts w:ascii="Times New Roman" w:hAnsi="Times New Roman" w:cs="Times New Roman"/>
          <w:sz w:val="26"/>
          <w:szCs w:val="26"/>
        </w:rPr>
        <w:t xml:space="preserve">Thẩm quyền cấp tín dụng đối với khách hàng [Tên khách hàng] và người có liên quan:</w:t>
      </w:r>
      <w:r>
        <w:rPr>
          <w:sz w:val="26"/>
          <w:szCs w:val="26"/>
        </w:rPr>
      </w:r>
    </w:p>
    <w:p>
      <w:pPr>
        <w:pBdr/>
        <w:spacing/>
        <w:ind w:firstLine="567"/>
        <w:jc w:val="both"/>
        <w:rPr>
          <w:sz w:val="26"/>
          <w:szCs w:val="26"/>
        </w:rPr>
      </w:pPr>
      <w:r>
        <w:rPr>
          <w:rFonts w:ascii="Times New Roman" w:hAnsi="Times New Roman" w:cs="Times New Roman"/>
          <w:sz w:val="26"/>
          <w:szCs w:val="26"/>
        </w:rPr>
        <w:t xml:space="preserve">= ([Dư nợ của KH và NLQ tại Agribank] + [Tổng nhu cầu cấp TD])* [100% - 10%*(n-1)] = ...... đồng</w:t>
      </w:r>
      <w:r>
        <w:rPr>
          <w:sz w:val="26"/>
          <w:szCs w:val="26"/>
        </w:rPr>
      </w:r>
    </w:p>
    <w:p>
      <w:pPr>
        <w:pBdr/>
        <w:spacing/>
        <w:ind w:firstLine="567"/>
        <w:jc w:val="both"/>
        <w:rPr>
          <w:sz w:val="26"/>
          <w:szCs w:val="26"/>
        </w:rPr>
      </w:pPr>
      <w:r>
        <w:rPr>
          <w:rFonts w:ascii="Times New Roman" w:hAnsi="Times New Roman" w:cs="Times New Roman"/>
          <w:sz w:val="26"/>
          <w:szCs w:val="26"/>
        </w:rPr>
        <w:t xml:space="preserve">- Tổng thẩm quyền cấp tín dụng của Giám đốc Agribank [Tên chi nhánh/PGD] đối với nhóm khách hàng và người liên quan theo quy định hiện nay: ......  đồng</w:t>
      </w:r>
      <w:r>
        <w:rPr>
          <w:sz w:val="26"/>
          <w:szCs w:val="26"/>
        </w:rPr>
      </w:r>
    </w:p>
    <w:p>
      <w:pPr>
        <w:pBdr/>
        <w:spacing/>
        <w:ind w:firstLine="567"/>
        <w:jc w:val="both"/>
        <w:rPr>
          <w:sz w:val="26"/>
          <w:szCs w:val="26"/>
        </w:rPr>
      </w:pPr>
      <w:r>
        <w:rPr>
          <w:rFonts w:ascii="Times New Roman" w:hAnsi="Times New Roman" w:cs="Times New Roman"/>
          <w:sz w:val="26"/>
          <w:szCs w:val="26"/>
        </w:rPr>
        <w:t xml:space="preserve">Số tiền đề xuất Giám đốc Agribank [Tên chi nhánh/PGD] phê duyệt đối với khách hàng và người có liên quan là [Dư nợ của KH và NLQ tại Agribank] + [Tổng nhu cầu cấp TD] đồng: Thuộc thẩm quyền của Giám đốc Agribank [Tên chi nhánh/PGD].</w:t>
      </w:r>
      <w:r>
        <w:rPr>
          <w:sz w:val="26"/>
          <w:szCs w:val="26"/>
        </w:rPr>
      </w:r>
    </w:p>
    <w:p>
      <w:pPr>
        <w:pBdr/>
        <w:spacing/>
        <w:ind w:firstLine="567"/>
        <w:jc w:val="both"/>
        <w:rPr>
          <w:rFonts w:eastAsia="Calibri"/>
          <w:sz w:val="26"/>
          <w:szCs w:val="26"/>
        </w:rPr>
      </w:pPr>
      <w:r>
        <w:rPr>
          <w:sz w:val="26"/>
          <w:szCs w:val="26"/>
        </w:rPr>
        <w:t xml:space="preserve">4. Thẩm định khả năng đáp ứng các điều kiện vay vốn của khách hàng:</w:t>
      </w:r>
      <w:r>
        <w:rPr>
          <w:rFonts w:eastAsia="Calibri"/>
          <w:sz w:val="26"/>
          <w:szCs w:val="26"/>
        </w:rPr>
      </w:r>
    </w:p>
    <w:p>
      <w:pPr>
        <w:pBdr/>
        <w:spacing/>
        <w:ind w:firstLine="567"/>
        <w:jc w:val="both"/>
        <w:rPr>
          <w:rFonts w:eastAsia="Calibri"/>
          <w:sz w:val="26"/>
          <w:szCs w:val="26"/>
        </w:rPr>
      </w:pPr>
      <w:r>
        <w:rPr>
          <w:sz w:val="26"/>
          <w:szCs w:val="26"/>
        </w:rPr>
        <w:t xml:space="preserve">a) Đánh giá năng lực pháp luật dân sự của khách hàng, năng lực hành vi dân sự của người đại diện theo pháp luật tại thời điểm vay vốn: Đầy đủ theo đúng quy định;</w:t>
      </w:r>
      <w:r>
        <w:rPr>
          <w:rFonts w:eastAsia="Calibri"/>
          <w:sz w:val="26"/>
          <w:szCs w:val="26"/>
        </w:rPr>
      </w:r>
    </w:p>
    <w:p>
      <w:pPr>
        <w:pBdr/>
        <w:spacing/>
        <w:ind w:firstLine="567"/>
        <w:jc w:val="both"/>
        <w:rPr>
          <w:rFonts w:eastAsia="Calibri"/>
          <w:sz w:val="26"/>
          <w:szCs w:val="26"/>
        </w:rPr>
      </w:pPr>
      <w:r>
        <w:rPr>
          <w:sz w:val="26"/>
          <w:szCs w:val="26"/>
        </w:rPr>
        <w:t xml:space="preserve">b) Đánh giá tính hợp pháp của mục đích sử dụng vốn: Mục đích sử dụng vốn hợp pháp và không trái với quy định của Pháp luật, Ngân hàng Nhà nước và Agribank; </w:t>
      </w:r>
      <w:r>
        <w:rPr>
          <w:rFonts w:eastAsia="Calibri"/>
          <w:sz w:val="26"/>
          <w:szCs w:val="26"/>
        </w:rPr>
      </w:r>
    </w:p>
    <w:p>
      <w:pPr>
        <w:pBdr/>
        <w:spacing/>
        <w:ind w:firstLine="567"/>
        <w:jc w:val="both"/>
        <w:rPr>
          <w:rFonts w:eastAsia="Calibri"/>
          <w:sz w:val="26"/>
          <w:szCs w:val="26"/>
        </w:rPr>
      </w:pPr>
      <w:r>
        <w:rPr>
          <w:sz w:val="26"/>
          <w:szCs w:val="26"/>
        </w:rPr>
        <w:t xml:space="preserve">c) Đánh giá tính khả thi của phương án sử dụng vốn: phương án khả thi;</w:t>
      </w:r>
      <w:r>
        <w:rPr>
          <w:rFonts w:eastAsia="Calibri"/>
          <w:sz w:val="26"/>
          <w:szCs w:val="26"/>
        </w:rPr>
      </w:r>
    </w:p>
    <w:p>
      <w:pPr>
        <w:pBdr/>
        <w:spacing/>
        <w:ind w:firstLine="567"/>
        <w:jc w:val="both"/>
        <w:rPr>
          <w:rFonts w:eastAsia="Calibri"/>
          <w:sz w:val="26"/>
          <w:szCs w:val="26"/>
        </w:rPr>
      </w:pPr>
      <w:r>
        <w:rPr>
          <w:sz w:val="26"/>
          <w:szCs w:val="26"/>
        </w:rPr>
        <w:t xml:space="preserve">d) Đánh giá khả năng tài chính để trả nợ: đảm bảo khả năng trả nợ, có khả năng thanh toán nợ gốc, lãi cho Agribank theo đúng cam kết</w:t>
      </w:r>
      <w:r>
        <w:rPr>
          <w:rFonts w:eastAsia="Calibri"/>
          <w:sz w:val="26"/>
          <w:szCs w:val="26"/>
        </w:rPr>
      </w:r>
    </w:p>
    <w:p>
      <w:pPr>
        <w:pBdr/>
        <w:spacing/>
        <w:ind w:firstLine="567"/>
        <w:jc w:val="both"/>
        <w:rPr>
          <w:rFonts w:eastAsia="Calibri"/>
          <w:sz w:val="26"/>
          <w:szCs w:val="26"/>
        </w:rPr>
      </w:pPr>
      <w:r>
        <w:rPr>
          <w:sz w:val="26"/>
          <w:szCs w:val="26"/>
        </w:rPr>
        <w:t xml:space="preserve">5. Đánh giá tiêu ch</w:t>
      </w:r>
      <w:r>
        <w:rPr>
          <w:sz w:val="26"/>
          <w:szCs w:val="26"/>
        </w:rPr>
        <w:t xml:space="preserve">í khách hàng có tình hình tài chính minh bạch, lành mạnh đối với nhu cầu cho vay ngắn hạn bằng đồng Việt Nam không vượt quá mức lãi suất cho vay tối đa do Thống đốc NHNN quyết định trong từng thời kỳ nhằm đáp ứng một số nhu cầu vốn theo quy định của NHNN: </w:t>
      </w:r>
      <w:r>
        <w:rPr>
          <w:rFonts w:eastAsia="Calibri"/>
          <w:sz w:val="26"/>
          <w:szCs w:val="26"/>
        </w:rPr>
      </w:r>
    </w:p>
    <w:p>
      <w:pPr>
        <w:pBdr/>
        <w:spacing/>
        <w:ind w:firstLine="567"/>
        <w:jc w:val="both"/>
        <w:rPr>
          <w:rFonts w:eastAsia="Calibri"/>
          <w:sz w:val="26"/>
          <w:szCs w:val="26"/>
        </w:rPr>
      </w:pPr>
      <w:r>
        <w:rPr>
          <w:sz w:val="26"/>
          <w:szCs w:val="26"/>
        </w:rPr>
        <w:t xml:space="preserve">Việc đáp ứng các tiêu chí khách hàng có tình hình tài chính minh bạch, lành mạnh [Tài chính minh bạch, LM]. Lý do: [Lý do đáp ứng/không đáp ứng TCMBLM]</w:t>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6. Đánh giá tính pháp lý và khả năng thu hồi của TSBĐ: Hồ sơ về tài sản bảo đảm đầy đủ, tài sản bảo đảm đáp ứng đủ các điều kiện theo quy định của Agribank</w:t>
      </w:r>
      <w:r>
        <w:rPr>
          <w:sz w:val="26"/>
          <w:szCs w:val="26"/>
        </w:rPr>
      </w:r>
    </w:p>
    <w:p>
      <w:pPr>
        <w:pBdr/>
        <w:spacing/>
        <w:ind w:firstLine="567"/>
        <w:jc w:val="both"/>
        <w:rPr>
          <w:rFonts w:eastAsia="Calibri"/>
          <w:sz w:val="26"/>
          <w:szCs w:val="26"/>
        </w:rPr>
      </w:pPr>
      <w:r>
        <w:rPr>
          <w:sz w:val="26"/>
          <w:szCs w:val="26"/>
        </w:rPr>
        <w:t xml:space="preserve">6. Thẩm định khả năng thực hiện các nghĩa vụ cam kết của bên bảo lãnh (đối với các khoản cho vay có bảo lãnh của bên thứ ba): </w:t>
      </w:r>
      <w:r>
        <w:rPr>
          <w:color w:val="0000ff"/>
          <w:sz w:val="26"/>
          <w:szCs w:val="26"/>
        </w:rPr>
        <w:t xml:space="preserve">Không có</w:t>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VIII. Đề xuất</w:t>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Trên cơ sở hồ sơ vay vốn, đề xuất của Người quan hệ khách hàng, Người thẩm định đã tiến hành thẩm định và đối chiếu với quy định về cho vay trong hệ thống Agribank, và đề xuất như sau:</w:t>
      </w:r>
      <w:r>
        <w:rPr>
          <w:bCs/>
          <w:sz w:val="26"/>
          <w:szCs w:val="28"/>
        </w:rPr>
      </w:r>
    </w:p>
    <w:p>
      <w:pPr>
        <w:pBdr/>
        <w:tabs>
          <w:tab w:val="left" w:leader="none" w:pos="0"/>
          <w:tab w:val="left" w:leader="none" w:pos="567"/>
        </w:tabs>
        <w:spacing/>
        <w:ind w:firstLine="567"/>
        <w:jc w:val="both"/>
        <w:rPr>
          <w:rFonts w:eastAsia="Calibri"/>
          <w:bCs/>
          <w:sz w:val="26"/>
          <w:szCs w:val="22"/>
        </w:rPr>
      </w:pPr>
      <w:r>
        <w:rPr>
          <w:sz w:val="26"/>
          <w:szCs w:val="26"/>
        </w:rPr>
        <w:t xml:space="preserve">1. Đồng ý cho vay và đề xuất như sau:</w:t>
      </w:r>
      <w:r>
        <w:rPr>
          <w:rFonts w:eastAsia="Calibri"/>
          <w:bCs/>
          <w:sz w:val="26"/>
          <w:szCs w:val="22"/>
        </w:rPr>
      </w:r>
    </w:p>
    <w:tbl>
      <w:tblPr>
        <w:tblStyle w:val="900"/>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[Tổng nhu cầu cấp TD] đồng </w:t>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[TNCCTD bằng chữ]</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vay]</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hạn vay] tháng</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[Định kỳ trả gốc]</w:t>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[Định kỳ trả lãi]</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[Tỷ lệ % bảo đảm]%</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Không có</w:t>
            </w:r>
            <w:r>
              <w:rPr>
                <w:rFonts w:eastAsia="Arial"/>
                <w:sz w:val="26"/>
                <w:szCs w:val="28"/>
              </w:rPr>
            </w:r>
          </w:p>
        </w:tc>
      </w:tr>
    </w:tbl>
    <w:p>
      <w:pPr>
        <w:pBdr/>
        <w:spacing/>
        <w:ind w:firstLine="567"/>
        <w:jc w:val="both"/>
        <w:rPr>
          <w:rFonts w:eastAsia="Calibri"/>
          <w:sz w:val="26"/>
          <w:szCs w:val="26"/>
        </w:rPr>
      </w:pPr>
      <w:r>
        <w:rPr>
          <w:sz w:val="26"/>
          <w:szCs w:val="26"/>
        </w:rPr>
        <w:t xml:space="preserve">Kính chuyển Chủ tịch Hội đồng tín dụng tổ chức họp Hội đồng tín dụng</w:t>
      </w:r>
      <w:r>
        <w:rPr>
          <w:rFonts w:eastAsia="Calibri"/>
          <w:sz w:val="26"/>
          <w:szCs w:val="26"/>
        </w:rPr>
      </w:r>
    </w:p>
    <w:p>
      <w:pPr>
        <w:pBdr/>
        <w:spacing/>
        <w:ind w:firstLine="567"/>
        <w:jc w:val="both"/>
        <w:rPr>
          <w:rFonts w:eastAsia="Calibri"/>
          <w:sz w:val="26"/>
          <w:szCs w:val="26"/>
        </w:rPr>
      </w:pPr>
      <w:r>
        <w:rPr>
          <w:sz w:val="26"/>
          <w:szCs w:val="26"/>
          <w:highlight w:val="yellow"/>
        </w:rPr>
        <w:t xml:space="preserve">(Đối với khoản cấp tín dụng phải thông qua Hội đồng tín dụng - nếu không thông qua HĐTD thì xóa dòng Kính chuyển ...)</w:t>
      </w:r>
      <w:r>
        <w:rPr>
          <w:rFonts w:eastAsia="Calibri"/>
          <w:sz w:val="26"/>
          <w:szCs w:val="26"/>
        </w:rPr>
      </w:r>
    </w:p>
    <w:tbl>
      <w:tblPr>
        <w:tblStyle w:val="896"/>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rPr>
                <w:szCs w:val="26"/>
              </w:rPr>
            </w:pP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[Ngày] tháng [Tháng] năm [Năm]</w:t>
            </w:r>
            <w:r>
              <w:rPr>
                <w:i/>
                <w:sz w:val="26"/>
                <w:szCs w:val="26"/>
              </w:rPr>
            </w:r>
          </w:p>
          <w:p>
            <w:pPr>
              <w:pBdr/>
              <w:spacing/>
              <w:ind/>
              <w:jc w:val="center"/>
              <w:rPr>
                <w:b/>
                <w:sz w:val="26"/>
                <w:szCs w:val="26"/>
              </w:rPr>
            </w:pPr>
            <w:r>
              <w:rPr>
                <w:rFonts w:ascii="Times New Roman" w:hAnsi="Times New Roman" w:cs="Times New Roman"/>
                <w:b/>
                <w:bCs/>
                <w:sz w:val="26"/>
                <w:szCs w:val="26"/>
              </w:rPr>
              <w:t xml:space="preserve">NGƯỜI THẨM ĐỊNH</w:t>
            </w:r>
            <w:r>
              <w:rPr>
                <w:b/>
                <w:sz w:val="26"/>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p>
          <w:p>
            <w:pPr>
              <w:pBdr/>
              <w:spacing/>
              <w:ind/>
              <w:jc w:val="center"/>
              <w:rPr>
                <w:szCs w:val="26"/>
              </w:rPr>
            </w:pPr>
            <w:r>
              <w:rPr>
                <w:szCs w:val="26"/>
              </w:rPr>
            </w:r>
            <w:r>
              <w:rPr>
                <w:szCs w:val="26"/>
              </w:rPr>
            </w:r>
          </w:p>
          <w:p>
            <w:pPr>
              <w:pBdr/>
              <w:spacing/>
              <w:ind/>
              <w:jc w:val="center"/>
              <w:rPr>
                <w:szCs w:val="26"/>
              </w:rPr>
            </w:pPr>
            <w:r>
              <w:rPr>
                <w:szCs w:val="26"/>
              </w:rPr>
            </w:r>
            <w:r>
              <w:rPr>
                <w:szCs w:val="26"/>
              </w:rPr>
            </w:r>
          </w:p>
          <w:p>
            <w:pPr>
              <w:pBdr/>
              <w:spacing/>
              <w:ind/>
              <w:jc w:val="center"/>
              <w:rPr>
                <w:szCs w:val="26"/>
              </w:rPr>
            </w:pPr>
            <w:r>
              <w:rPr>
                <w:szCs w:val="26"/>
              </w:rPr>
            </w:r>
            <w:r>
              <w:rPr>
                <w:szCs w:val="26"/>
              </w:rPr>
            </w:r>
          </w:p>
          <w:p>
            <w:pPr>
              <w:pBdr/>
              <w:spacing/>
              <w:ind/>
              <w:jc w:val="center"/>
              <w:rPr>
                <w:szCs w:val="26"/>
              </w:rPr>
            </w:pP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[Người kiểm soát]</w:t>
            </w:r>
            <w:r>
              <w:rPr>
                <w:b/>
                <w:sz w:val="26"/>
                <w:szCs w:val="26"/>
              </w:rPr>
            </w:r>
          </w:p>
        </w:tc>
      </w:tr>
    </w:tbl>
    <w:p>
      <w:pPr>
        <w:pBdr/>
        <w:tabs>
          <w:tab w:val="center" w:leader="none" w:pos="7200"/>
        </w:tabs>
        <w:spacing w:line="276" w:lineRule="auto"/>
        <w:ind/>
        <w:jc w:val="both"/>
        <w:rPr>
          <w:rFonts w:eastAsia="Calibri"/>
          <w:b/>
          <w:color w:val="000000"/>
          <w:sz w:val="26"/>
          <w:szCs w:val="26"/>
        </w:rPr>
      </w:pP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
          <w:bCs/>
          <w:iCs/>
          <w:sz w:val="26"/>
          <w:szCs w:val="28"/>
        </w:rPr>
      </w:pPr>
      <w:r>
        <w:rPr>
          <w:rFonts w:ascii="Times New Roman" w:hAnsi="Times New Roman" w:cs="Times New Roman"/>
          <w:b/>
          <w:bCs/>
          <w:sz w:val="26"/>
          <w:szCs w:val="26"/>
        </w:rPr>
        <w:t xml:space="preserve">Phần C: Ý KIẾN CỦA CHỦ TỊCH HỘI ĐỒNG TÍN DỤNG</w:t>
      </w:r>
      <w:r>
        <w:rPr>
          <w:b/>
          <w:bCs/>
          <w:iCs/>
          <w:sz w:val="26"/>
          <w:szCs w:val="28"/>
        </w:rPr>
      </w:r>
    </w:p>
    <w:p>
      <w:pPr>
        <w:pBdr/>
        <w:shd w:val="clear" w:color="auto" w:fill="ffffff"/>
        <w:tabs>
          <w:tab w:val="left" w:leader="none" w:pos="180"/>
        </w:tabs>
        <w:spacing/>
        <w:ind/>
        <w:jc w:val="both"/>
        <w:rPr>
          <w:rFonts w:eastAsia="Calibri"/>
          <w:bCs/>
          <w:sz w:val="26"/>
          <w:szCs w:val="28"/>
        </w:rPr>
      </w:pPr>
      <w:r>
        <w:rPr>
          <w:sz w:val="26"/>
          <w:szCs w:val="26"/>
        </w:rPr>
        <w:t xml:space="preserve">- Không thông qua hội đồng tín dụng</w:t>
      </w:r>
      <w:r>
        <w:rPr>
          <w:rFonts w:eastAsia="Calibri"/>
          <w:bCs/>
          <w:sz w:val="26"/>
          <w:szCs w:val="28"/>
        </w:rPr>
      </w:r>
    </w:p>
    <w:p>
      <w:pPr>
        <w:pBdr/>
        <w:shd w:val="clear" w:color="auto" w:fill="ffffff"/>
        <w:tabs>
          <w:tab w:val="left" w:leader="none" w:pos="180"/>
        </w:tabs>
        <w:spacing/>
        <w:ind/>
        <w:jc w:val="both"/>
        <w:rPr>
          <w:rFonts w:eastAsia="Calibri"/>
          <w:bCs/>
          <w:sz w:val="26"/>
          <w:szCs w:val="28"/>
        </w:rPr>
      </w:pPr>
      <w:r>
        <w:rPr>
          <w:sz w:val="26"/>
          <w:szCs w:val="26"/>
          <w:highlight w:val="yellow"/>
        </w:rPr>
        <w:t xml:space="preserve">Trường hợp </w:t>
      </w:r>
      <w:r>
        <w:rPr>
          <w:b/>
          <w:bCs/>
          <w:sz w:val="26"/>
          <w:szCs w:val="26"/>
          <w:highlight w:val="yellow"/>
        </w:rPr>
        <w:t xml:space="preserve">không</w:t>
      </w:r>
      <w:r>
        <w:rPr>
          <w:sz w:val="26"/>
          <w:szCs w:val="26"/>
          <w:highlight w:val="yellow"/>
        </w:rPr>
        <w:t xml:space="preserve"> thông qua Hội đồng tín dụng thì xóa hết phần dưới đây. Nếu </w:t>
      </w:r>
      <w:r>
        <w:rPr>
          <w:b/>
          <w:bCs/>
          <w:sz w:val="26"/>
          <w:szCs w:val="26"/>
          <w:highlight w:val="yellow"/>
        </w:rPr>
        <w:t xml:space="preserve">có</w:t>
      </w:r>
      <w:r>
        <w:rPr>
          <w:sz w:val="26"/>
          <w:szCs w:val="26"/>
          <w:highlight w:val="yellow"/>
        </w:rPr>
        <w:t xml:space="preserve"> thông qua Hội đồng tín dụng thì trình bày như dưới đây (xóa dòng phía trên và xóa dòng hướng dẫn này trước khi in)</w:t>
      </w:r>
      <w:r>
        <w:rPr>
          <w:rFonts w:eastAsia="Calibri"/>
          <w:bCs/>
          <w:sz w:val="26"/>
          <w:szCs w:val="28"/>
        </w:rPr>
      </w:r>
    </w:p>
    <w:p>
      <w:pPr>
        <w:pBdr/>
        <w:spacing/>
        <w:ind/>
        <w:jc w:val="both"/>
        <w:rPr>
          <w:rFonts w:eastAsia="Arial"/>
          <w:sz w:val="26"/>
          <w:szCs w:val="28"/>
        </w:rPr>
      </w:pPr>
      <w:r>
        <w:rPr>
          <w:sz w:val="26"/>
          <w:szCs w:val="26"/>
        </w:rPr>
        <w:t xml:space="preserve">- Chuyển hồ sơ cho các thành viên Hội đồng tín dụng</w:t>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Hình thức họp và thời gian họp: </w:t>
      </w:r>
      <w:r>
        <w:tab/>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Thông tin khác (nếu có): </w:t>
      </w:r>
      <w:r>
        <w:tab/>
      </w:r>
      <w:r>
        <w:rPr>
          <w:rFonts w:eastAsia="Arial"/>
          <w:sz w:val="26"/>
          <w:szCs w:val="28"/>
        </w:rPr>
      </w:r>
    </w:p>
    <w:tbl>
      <w:tblPr>
        <w:tblStyle w:val="901"/>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i/>
                <w:sz w:val="26"/>
                <w:szCs w:val="26"/>
              </w:rPr>
            </w:pPr>
            <w:r>
              <w:rPr>
                <w:i/>
                <w:iCs/>
                <w:sz w:val="26"/>
                <w:szCs w:val="26"/>
              </w:rPr>
              <w:t xml:space="preserve">Ngày [Ngày] tháng [Tháng] năm [Năm]</w:t>
            </w:r>
            <w:r>
              <w:rPr>
                <w:rFonts w:eastAsia="Calibri"/>
                <w:i/>
                <w:sz w:val="26"/>
                <w:szCs w:val="26"/>
              </w:rPr>
            </w:r>
          </w:p>
          <w:p>
            <w:pPr>
              <w:pBdr/>
              <w:spacing/>
              <w:ind/>
              <w:jc w:val="center"/>
              <w:rPr>
                <w:b/>
                <w:sz w:val="26"/>
                <w:szCs w:val="26"/>
              </w:rPr>
            </w:pPr>
            <w:r>
              <w:rPr>
                <w:rFonts w:ascii="Times New Roman" w:hAnsi="Times New Roman" w:cs="Times New Roman"/>
                <w:b/>
                <w:bCs/>
                <w:sz w:val="26"/>
                <w:szCs w:val="26"/>
              </w:rPr>
              <w:t xml:space="preserve">CHỦ TỊCH HĐTD</w:t>
            </w:r>
            <w:r>
              <w:rPr>
                <w:b/>
                <w:sz w:val="26"/>
                <w:szCs w:val="26"/>
              </w:rPr>
            </w:r>
          </w:p>
          <w:p>
            <w:pPr>
              <w:pBdr/>
              <w:spacing/>
              <w:ind/>
              <w:jc w:val="center"/>
              <w:rPr>
                <w:i/>
                <w:sz w:val="26"/>
                <w:szCs w:val="26"/>
              </w:rPr>
            </w:pPr>
            <w:r>
              <w:rPr>
                <w:rFonts w:ascii="Times New Roman" w:hAnsi="Times New Roman" w:cs="Times New Roman"/>
                <w:i/>
                <w:iCs/>
                <w:sz w:val="26"/>
                <w:szCs w:val="26"/>
              </w:rPr>
              <w:t xml:space="preserve">(Ký, ghi rõ họ tên)</w:t>
            </w:r>
            <w:r>
              <w:rPr>
                <w:i/>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b/>
                <w:sz w:val="26"/>
                <w:szCs w:val="26"/>
              </w:rPr>
            </w:pP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p>
        </w:tc>
      </w:tr>
    </w:tbl>
    <w:p>
      <w:pPr>
        <w:pBdr/>
        <w:shd w:val="clear" w:color="auto" w:fill="ffffff"/>
        <w:tabs>
          <w:tab w:val="left" w:leader="none" w:pos="180"/>
        </w:tabs>
        <w:spacing/>
        <w:ind w:firstLine="567"/>
        <w:jc w:val="both"/>
        <w:rPr>
          <w:b/>
          <w:sz w:val="26"/>
          <w:szCs w:val="28"/>
        </w:rPr>
      </w:pPr>
      <w:r>
        <w:rPr>
          <w:rFonts w:ascii="Times New Roman" w:hAnsi="Times New Roman" w:cs="Times New Roman"/>
          <w:b/>
          <w:bCs/>
          <w:sz w:val="26"/>
          <w:szCs w:val="26"/>
        </w:rPr>
        <w:t xml:space="preserve">Phần D. THẨM ĐỊNH VÀ ĐỀ XUẤT CHO VAY CỦA NGƯỜI THẨM ĐỊNH LẠI</w:t>
      </w:r>
      <w:r>
        <w:rPr>
          <w:b/>
          <w:sz w:val="26"/>
          <w:szCs w:val="28"/>
        </w:rPr>
      </w:r>
    </w:p>
    <w:p>
      <w:pPr>
        <w:pBdr/>
        <w:shd w:val="clear" w:color="auto" w:fill="ffffff"/>
        <w:tabs>
          <w:tab w:val="left" w:leader="none" w:pos="180"/>
        </w:tabs>
        <w:spacing/>
        <w:ind w:firstLine="567"/>
        <w:jc w:val="both"/>
        <w:rPr>
          <w:sz w:val="26"/>
          <w:szCs w:val="28"/>
        </w:rPr>
      </w:pPr>
      <w:r>
        <w:rPr>
          <w:rFonts w:ascii="Times New Roman" w:hAnsi="Times New Roman" w:cs="Times New Roman"/>
          <w:sz w:val="26"/>
          <w:szCs w:val="26"/>
        </w:rPr>
        <w:t xml:space="preserve">- Không có</w:t>
      </w:r>
      <w:r>
        <w:rPr>
          <w:sz w:val="26"/>
          <w:szCs w:val="28"/>
        </w:rPr>
      </w:r>
    </w:p>
    <w:p>
      <w:pPr>
        <w:pBdr/>
        <w:spacing/>
        <w:ind w:firstLine="567"/>
        <w:jc w:val="both"/>
        <w:rPr>
          <w:b/>
          <w:sz w:val="26"/>
          <w:szCs w:val="28"/>
        </w:rPr>
      </w:pP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E: Ý KIẾN CỦA NGƯỜI QUYẾT ĐỊNH CHO VAY</w:t>
      </w:r>
      <w:r>
        <w:rPr>
          <w:b/>
          <w:sz w:val="26"/>
          <w:szCs w:val="28"/>
        </w:rPr>
      </w:r>
    </w:p>
    <w:p>
      <w:pPr>
        <w:pBdr/>
        <w:tabs>
          <w:tab w:val="left" w:leader="none" w:pos="700"/>
          <w:tab w:val="left" w:leader="none" w:pos="990"/>
          <w:tab w:val="left" w:leader="none" w:pos="1170"/>
        </w:tabs>
        <w:spacing/>
        <w:ind w:firstLine="567"/>
        <w:jc w:val="both"/>
        <w:rPr>
          <w:sz w:val="26"/>
          <w:szCs w:val="28"/>
        </w:rPr>
      </w:pPr>
      <w:r>
        <w:rPr>
          <w:rFonts w:ascii="Times New Roman" w:hAnsi="Times New Roman" w:cs="Times New Roman"/>
          <w:sz w:val="26"/>
          <w:szCs w:val="26"/>
        </w:rPr>
        <w:t xml:space="preserve">Căn cứ hồ sơ vay vốn, đề xuất của Người quan hệ khách hàng, Kết quả thẩm định và đề xuất cho vay của Người thẩm định, Người thẩm định lại (nếu có), Biên bản họp/Bảng tổng hợp ý kiến Hội đồng tín dụng (nếu có), Người quyết định cho vay quyết định như sau:</w:t>
      </w:r>
      <w:r>
        <w:rPr>
          <w:sz w:val="26"/>
          <w:szCs w:val="28"/>
        </w:rPr>
      </w:r>
    </w:p>
    <w:p>
      <w:pPr>
        <w:pBdr/>
        <w:tabs>
          <w:tab w:val="left" w:leader="none" w:pos="720"/>
        </w:tabs>
        <w:spacing/>
        <w:ind w:firstLine="567"/>
        <w:jc w:val="both"/>
        <w:rPr>
          <w:sz w:val="26"/>
          <w:szCs w:val="28"/>
        </w:rPr>
      </w:pPr>
      <w:r>
        <w:rPr>
          <w:rFonts w:ascii="Times New Roman" w:hAnsi="Times New Roman" w:cs="Times New Roman"/>
          <w:sz w:val="26"/>
          <w:szCs w:val="26"/>
        </w:rPr>
        <w:t xml:space="preserve">1. Đồng ý cho vay với nội dung như sau: </w:t>
      </w:r>
      <w:r>
        <w:rPr>
          <w:sz w:val="26"/>
          <w:szCs w:val="28"/>
        </w:rPr>
      </w:r>
    </w:p>
    <w:tbl>
      <w:tblPr>
        <w:tblStyle w:val="900"/>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[Tổng nhu cầu cấp TD] đồng </w:t>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[TNCCTD bằng chữ]</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vay]</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hạn vay] tháng</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[Định kỳ trả gốc]</w:t>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[Định kỳ trả lãi]</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[Tỷ lệ % bảo đảm]%</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[Bổ sung BCĐX cho vay]</w:t>
            </w:r>
            <w:r>
              <w:rPr>
                <w:rFonts w:eastAsia="Arial"/>
                <w:sz w:val="26"/>
                <w:szCs w:val="28"/>
              </w:rPr>
            </w:r>
          </w:p>
        </w:tc>
      </w:tr>
    </w:tbl>
    <w:p>
      <w:pPr>
        <w:pBdr/>
        <w:tabs>
          <w:tab w:val="left" w:leader="none" w:pos="720"/>
        </w:tabs>
        <w:spacing/>
        <w:ind w:firstLine="567"/>
        <w:jc w:val="both"/>
        <w:rPr>
          <w:sz w:val="26"/>
          <w:szCs w:val="28"/>
        </w:rPr>
      </w:pPr>
      <w:r>
        <w:rPr>
          <w:sz w:val="26"/>
          <w:szCs w:val="28"/>
        </w:rPr>
      </w:r>
      <w:r>
        <w:rPr>
          <w:sz w:val="26"/>
          <w:szCs w:val="28"/>
        </w:rPr>
      </w:r>
    </w:p>
    <w:tbl>
      <w:tblPr>
        <w:tblStyle w:val="898"/>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line="264" w:lineRule="auto"/>
              <w:ind/>
              <w:jc w:val="both"/>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tabs>
                <w:tab w:val="left" w:leader="none" w:pos="180"/>
              </w:tabs>
              <w:spacing/>
              <w:ind/>
              <w:jc w:val="center"/>
              <w:rPr>
                <w:i/>
                <w:sz w:val="26"/>
                <w:szCs w:val="26"/>
              </w:rPr>
            </w:pPr>
            <w:r>
              <w:rPr>
                <w:rFonts w:ascii="Times New Roman" w:hAnsi="Times New Roman" w:cs="Times New Roman"/>
                <w:i/>
                <w:iCs/>
                <w:sz w:val="26"/>
                <w:szCs w:val="26"/>
              </w:rPr>
              <w:t xml:space="preserve">Ngày [Ngày] tháng [Tháng] năm [Năm]</w:t>
            </w:r>
            <w:r>
              <w:rPr>
                <w:i/>
                <w:sz w:val="26"/>
                <w:szCs w:val="26"/>
              </w:rPr>
            </w:r>
          </w:p>
          <w:p>
            <w:pPr>
              <w:pBdr/>
              <w:tabs>
                <w:tab w:val="left" w:leader="none" w:pos="180"/>
              </w:tabs>
              <w:spacing/>
              <w:ind/>
              <w:jc w:val="center"/>
              <w:rPr>
                <w:b/>
                <w:i/>
                <w:sz w:val="26"/>
                <w:szCs w:val="26"/>
              </w:rPr>
            </w:pPr>
            <w:r>
              <w:rPr>
                <w:rFonts w:ascii="Times New Roman" w:hAnsi="Times New Roman" w:cs="Times New Roman"/>
                <w:b/>
                <w:bCs/>
                <w:i/>
                <w:iCs/>
                <w:sz w:val="26"/>
                <w:szCs w:val="26"/>
              </w:rPr>
              <w:t xml:space="preserve">NGƯỜI QUYẾT ĐỊNH CHO VAY</w:t>
            </w:r>
            <w:r>
              <w:rPr>
                <w:b/>
                <w:i/>
                <w:sz w:val="26"/>
                <w:szCs w:val="26"/>
              </w:rPr>
            </w:r>
          </w:p>
          <w:p>
            <w:pPr>
              <w:pBdr/>
              <w:tabs>
                <w:tab w:val="left" w:leader="none" w:pos="180"/>
              </w:tabs>
              <w:spacing/>
              <w:ind/>
              <w:jc w:val="center"/>
              <w:rPr>
                <w:b/>
                <w:szCs w:val="26"/>
              </w:rPr>
            </w:pPr>
            <w:r>
              <w:rPr>
                <w:rFonts w:ascii="Times New Roman" w:hAnsi="Times New Roman" w:cs="Times New Roman"/>
                <w:b/>
                <w:bCs/>
                <w:i/>
                <w:iCs/>
                <w:sz w:val="24"/>
                <w:szCs w:val="24"/>
              </w:rPr>
              <w:t xml:space="preserve">(Ký, ghi rõ họ tên, đóng dấu)</w:t>
            </w:r>
            <w:r>
              <w:rPr>
                <w:b/>
                <w:szCs w:val="26"/>
              </w:rPr>
            </w:r>
          </w:p>
        </w:tc>
      </w:tr>
    </w:tbl>
    <w:p>
      <w:pPr>
        <w:pBdr/>
        <w:tabs>
          <w:tab w:val="center" w:leader="none" w:pos="7200"/>
        </w:tabs>
        <w:spacing w:line="276" w:lineRule="auto"/>
        <w:ind/>
        <w:jc w:val="both"/>
        <w:outlineLvl w:val="3"/>
        <w:rPr>
          <w:rFonts w:eastAsia="Calibri"/>
          <w:color w:val="000000"/>
          <w:sz w:val="26"/>
          <w:szCs w:val="26"/>
        </w:rPr>
      </w:pPr>
      <w:r>
        <w:rPr>
          <w:rFonts w:eastAsia="Calibri"/>
          <w:color w:val="000000"/>
          <w:sz w:val="26"/>
          <w:szCs w:val="26"/>
        </w:rPr>
      </w:r>
      <w:r>
        <w:rPr>
          <w:rFonts w:eastAsia="Calibri"/>
          <w:color w:val="000000"/>
          <w:sz w:val="26"/>
          <w:szCs w:val="26"/>
        </w:rPr>
      </w:r>
    </w:p>
    <w:sectPr>
      <w:headerReference w:type="default" r:id="rId9"/>
      <w:headerReference w:type="first" r:id="rId10"/>
      <w:footerReference w:type="default" r:id="rId11"/>
      <w:footnotePr/>
      <w:endnotePr/>
      <w:type w:val="nextPage"/>
      <w:pgSz w:h="16840" w:orient="portrait" w:w="11907"/>
      <w:pgMar w:top="1134" w:right="851" w:bottom="1134" w:left="1418" w:header="567" w:footer="567"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Gothic">
    <w:panose1 w:val="020B06060202020A0204"/>
  </w:font>
  <w:font w:name="SimSun">
    <w:panose1 w:val="02020603020101020101"/>
  </w:font>
  <w:font w:name="Symbol">
    <w:panose1 w:val="05010000000000000000"/>
  </w:font>
  <w:font w:name="Wingdings">
    <w:panose1 w:val="05010000000000000000"/>
  </w:font>
  <w:font w:name="VNI-Times">
    <w:panose1 w:val="020B0603030804020204"/>
  </w:font>
  <w:font w:name=".VnArial Narrow">
    <w:panose1 w:val="020B0603030804020204"/>
  </w:font>
  <w:font w:name="Verdana">
    <w:panose1 w:val="020B0604030504040204"/>
  </w:font>
  <w:font w:name="PMingLiU">
    <w:panose1 w:val="02020603020101020101"/>
  </w:font>
  <w:font w:name="Tahoma">
    <w:panose1 w:val="020B0604030504040204"/>
  </w:font>
  <w:font w:name="Courier New">
    <w:panose1 w:val="02070309020205020404"/>
  </w:font>
  <w:font w:name=".VnTime">
    <w:panose1 w:val="020B0603030804020204"/>
  </w:font>
  <w:font w:name="Arial">
    <w:panose1 w:val="020B0604020202020204"/>
  </w:font>
  <w:font w:name=".VnTimeH">
    <w:panose1 w:val="020B0603030804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15"/>
      <w:pBdr/>
      <w:tabs>
        <w:tab w:val="clear" w:leader="none" w:pos="4320"/>
        <w:tab w:val="clear" w:leader="none" w:pos="8640"/>
      </w:tabs>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13"/>
      <w:pBdr/>
      <w:tabs>
        <w:tab w:val="clear" w:leader="none" w:pos="4320"/>
        <w:tab w:val="clear" w:leader="none" w:pos="8640"/>
      </w:tabs>
      <w:spacing/>
      <w:ind/>
      <w:jc w:val="center"/>
      <w:rPr/>
    </w:pPr>
    <w:r>
      <w:rPr>
        <w:sz w:val="26"/>
      </w:rPr>
      <w:fldChar w:fldCharType="begin"/>
    </w:r>
    <w:r>
      <w:rPr>
        <w:sz w:val="26"/>
      </w:rPr>
      <w:instrText xml:space="preserve"> PAGE   \* MERGEFORMAT </w:instrText>
    </w:r>
    <w:r>
      <w:rPr>
        <w:sz w:val="26"/>
      </w:rPr>
      <w:fldChar w:fldCharType="separate"/>
    </w:r>
    <w:r>
      <w:rPr>
        <w:sz w:val="26"/>
      </w:rPr>
      <w:t xml:space="preserve">30</w:t>
    </w:r>
    <w:r>
      <w:rPr>
        <w:sz w:val="26"/>
      </w:rPr>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13"/>
      <w:pBdr/>
      <w:tabs>
        <w:tab w:val="clear" w:leader="none" w:pos="4320"/>
        <w:tab w:val="clear" w:leader="none" w:pos="8640"/>
      </w:tabs>
      <w:spacing/>
      <w:ind/>
      <w:jc w:val="right"/>
      <w:rPr>
        <w:b/>
        <w:bCs/>
        <w:szCs w:val="26"/>
      </w:rPr>
    </w:pPr>
    <w:r>
      <w:rPr>
        <w:rFonts w:eastAsia="Calibri"/>
        <w:b/>
        <w:color w:val="000000"/>
        <w:szCs w:val="26"/>
      </w:rPr>
      <w:t xml:space="preserve">Mẫu số 02A/BCĐX-PN</w:t>
    </w:r>
    <w:r>
      <w:rPr>
        <w:b/>
        <w:bCs/>
        <w:szCs w:val="2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5463B"/>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B7D5BCA"/>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51B6E5A"/>
    <w:lvl w:ilvl="0">
      <w:isLgl w:val="false"/>
      <w:lvlJc w:val="left"/>
      <w:lvlText w:val=""/>
      <w:numFmt w:val="bullet"/>
      <w:pPr>
        <w:pBdr/>
        <w:tabs>
          <w:tab w:val="num" w:leader="none" w:pos="2007"/>
        </w:tabs>
        <w:spacing/>
        <w:ind w:hanging="360" w:left="2007"/>
      </w:pPr>
      <w:rPr>
        <w:rFonts w:hint="default" w:ascii="Wingdings" w:hAnsi="Wingdings"/>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3">
    <w:nsid w:val="1AD760D7"/>
    <w:lvl w:ilvl="0">
      <w:isLgl w:val="false"/>
      <w:lvlJc w:val="left"/>
      <w:lvlText w:val="+"/>
      <w:numFmt w:val="bullet"/>
      <w:pPr>
        <w:pBdr/>
        <w:spacing/>
        <w:ind w:hanging="360" w:left="1287"/>
      </w:pPr>
      <w:rPr>
        <w:rFonts w:hint="default" w:ascii="Times New Roman" w:hAnsi="Times New Roman" w:eastAsia="Calibri" w:cs="Times New Roman"/>
      </w:rPr>
      <w:start w:val="0"/>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4">
    <w:nsid w:val="1DB31304"/>
    <w:lvl w:ilvl="0">
      <w:isLgl w:val="false"/>
      <w:lvlJc w:val="left"/>
      <w:lvlText w:val="%1."/>
      <w:numFmt w:val="decimal"/>
      <w:pPr>
        <w:pBdr/>
        <w:spacing/>
        <w:ind w:hanging="360" w:left="930"/>
      </w:pPr>
      <w:rPr>
        <w:rFonts w:hint="default"/>
      </w:rPr>
      <w:start w:val="5"/>
      <w:suff w:val="tab"/>
    </w:lvl>
    <w:lvl w:ilvl="1">
      <w:isLgl w:val="true"/>
      <w:lvlJc w:val="left"/>
      <w:lvlText w:val="%1.%2."/>
      <w:numFmt w:val="decimal"/>
      <w:pPr>
        <w:pBdr/>
        <w:spacing/>
        <w:ind w:hanging="720" w:left="1290"/>
      </w:pPr>
      <w:rPr>
        <w:rFonts w:hint="default"/>
      </w:rPr>
      <w:start w:val="1"/>
      <w:suff w:val="tab"/>
    </w:lvl>
    <w:lvl w:ilvl="2">
      <w:isLgl w:val="true"/>
      <w:lvlJc w:val="left"/>
      <w:lvlText w:val="%1.%2.%3."/>
      <w:numFmt w:val="decimal"/>
      <w:pPr>
        <w:pBdr/>
        <w:spacing/>
        <w:ind w:hanging="720" w:left="1290"/>
      </w:pPr>
      <w:rPr>
        <w:rFonts w:hint="default"/>
      </w:rPr>
      <w:start w:val="1"/>
      <w:suff w:val="tab"/>
    </w:lvl>
    <w:lvl w:ilvl="3">
      <w:isLgl w:val="true"/>
      <w:lvlJc w:val="left"/>
      <w:lvlText w:val="%1.%2.%3.%4."/>
      <w:numFmt w:val="decimal"/>
      <w:pPr>
        <w:pBdr/>
        <w:spacing/>
        <w:ind w:hanging="1080" w:left="1650"/>
      </w:pPr>
      <w:rPr>
        <w:rFonts w:hint="default"/>
      </w:rPr>
      <w:start w:val="1"/>
      <w:suff w:val="tab"/>
    </w:lvl>
    <w:lvl w:ilvl="4">
      <w:isLgl w:val="true"/>
      <w:lvlJc w:val="left"/>
      <w:lvlText w:val="%1.%2.%3.%4.%5."/>
      <w:numFmt w:val="decimal"/>
      <w:pPr>
        <w:pBdr/>
        <w:spacing/>
        <w:ind w:hanging="1080" w:left="1650"/>
      </w:pPr>
      <w:rPr>
        <w:rFonts w:hint="default"/>
      </w:rPr>
      <w:start w:val="1"/>
      <w:suff w:val="tab"/>
    </w:lvl>
    <w:lvl w:ilvl="5">
      <w:isLgl w:val="true"/>
      <w:lvlJc w:val="left"/>
      <w:lvlText w:val="%1.%2.%3.%4.%5.%6."/>
      <w:numFmt w:val="decimal"/>
      <w:pPr>
        <w:pBdr/>
        <w:spacing/>
        <w:ind w:hanging="1440" w:left="2010"/>
      </w:pPr>
      <w:rPr>
        <w:rFonts w:hint="default"/>
      </w:rPr>
      <w:start w:val="1"/>
      <w:suff w:val="tab"/>
    </w:lvl>
    <w:lvl w:ilvl="6">
      <w:isLgl w:val="true"/>
      <w:lvlJc w:val="left"/>
      <w:lvlText w:val="%1.%2.%3.%4.%5.%6.%7."/>
      <w:numFmt w:val="decimal"/>
      <w:pPr>
        <w:pBdr/>
        <w:spacing/>
        <w:ind w:hanging="1440" w:left="2010"/>
      </w:pPr>
      <w:rPr>
        <w:rFonts w:hint="default"/>
      </w:rPr>
      <w:start w:val="1"/>
      <w:suff w:val="tab"/>
    </w:lvl>
    <w:lvl w:ilvl="7">
      <w:isLgl w:val="true"/>
      <w:lvlJc w:val="left"/>
      <w:lvlText w:val="%1.%2.%3.%4.%5.%6.%7.%8."/>
      <w:numFmt w:val="decimal"/>
      <w:pPr>
        <w:pBdr/>
        <w:spacing/>
        <w:ind w:hanging="1800" w:left="2370"/>
      </w:pPr>
      <w:rPr>
        <w:rFonts w:hint="default"/>
      </w:rPr>
      <w:start w:val="1"/>
      <w:suff w:val="tab"/>
    </w:lvl>
    <w:lvl w:ilvl="8">
      <w:isLgl w:val="true"/>
      <w:lvlJc w:val="left"/>
      <w:lvlText w:val="%1.%2.%3.%4.%5.%6.%7.%8.%9."/>
      <w:numFmt w:val="decimal"/>
      <w:pPr>
        <w:pBdr/>
        <w:spacing/>
        <w:ind w:hanging="1800" w:left="2370"/>
      </w:pPr>
      <w:rPr>
        <w:rFonts w:hint="default"/>
      </w:rPr>
      <w:start w:val="1"/>
      <w:suff w:val="tab"/>
    </w:lvl>
  </w:abstractNum>
  <w:abstractNum w:abstractNumId="5">
    <w:nsid w:val="1E055F02"/>
    <w:lvl w:ilvl="0">
      <w:isLgl w:val="false"/>
      <w:lvlJc w:val="left"/>
      <w:lvlText w:val="-"/>
      <w:numFmt w:val="bullet"/>
      <w:pPr>
        <w:pBdr/>
        <w:spacing/>
        <w:ind w:hanging="360" w:left="1287"/>
      </w:pPr>
      <w:rPr>
        <w:rFonts w:hint="default" w:ascii="Times New Roman" w:hAnsi="Times New Roman" w:eastAsia="Times New Roman" w:cs="Times New Roman"/>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6">
    <w:nsid w:val="23496506"/>
    <w:lvl w:ilvl="0">
      <w:isLgl w:val="false"/>
      <w:lvlJc w:val="left"/>
      <w:lvlText w:val="%1)"/>
      <w:numFmt w:val="lowerLetter"/>
      <w:pPr>
        <w:pBdr/>
        <w:spacing/>
        <w:ind w:hanging="360" w:left="786"/>
      </w:pPr>
      <w:rPr>
        <w:rFonts w:hint="default"/>
        <w:b w:val="0"/>
      </w:rPr>
      <w:start w:val="1"/>
      <w:suff w:val="tab"/>
    </w:lvl>
    <w:lvl w:ilvl="1">
      <w:isLgl w:val="false"/>
      <w:lvlJc w:val="left"/>
      <w:lvlText w:val="%2."/>
      <w:numFmt w:val="lowerLetter"/>
      <w:pPr>
        <w:pBdr/>
        <w:spacing/>
        <w:ind w:hanging="360" w:left="1506"/>
      </w:pPr>
      <w:rPr/>
      <w:start w:val="1"/>
      <w:suff w:val="tab"/>
    </w:lvl>
    <w:lvl w:ilvl="2">
      <w:isLgl w:val="false"/>
      <w:lvlJc w:val="right"/>
      <w:lvlText w:val="%3."/>
      <w:numFmt w:val="lowerRoman"/>
      <w:pPr>
        <w:pBdr/>
        <w:spacing/>
        <w:ind w:hanging="180" w:left="2226"/>
      </w:pPr>
      <w:rPr/>
      <w:start w:val="1"/>
      <w:suff w:val="tab"/>
    </w:lvl>
    <w:lvl w:ilvl="3">
      <w:isLgl w:val="false"/>
      <w:lvlJc w:val="left"/>
      <w:lvlText w:val="%4."/>
      <w:numFmt w:val="decimal"/>
      <w:pPr>
        <w:pBdr/>
        <w:spacing/>
        <w:ind w:hanging="360" w:left="2946"/>
      </w:pPr>
      <w:rPr/>
      <w:start w:val="1"/>
      <w:suff w:val="tab"/>
    </w:lvl>
    <w:lvl w:ilvl="4">
      <w:isLgl w:val="false"/>
      <w:lvlJc w:val="left"/>
      <w:lvlText w:val="%5."/>
      <w:numFmt w:val="lowerLetter"/>
      <w:pPr>
        <w:pBdr/>
        <w:spacing/>
        <w:ind w:hanging="360" w:left="3666"/>
      </w:pPr>
      <w:rPr/>
      <w:start w:val="1"/>
      <w:suff w:val="tab"/>
    </w:lvl>
    <w:lvl w:ilvl="5">
      <w:isLgl w:val="false"/>
      <w:lvlJc w:val="right"/>
      <w:lvlText w:val="%6."/>
      <w:numFmt w:val="lowerRoman"/>
      <w:pPr>
        <w:pBdr/>
        <w:spacing/>
        <w:ind w:hanging="180" w:left="4386"/>
      </w:pPr>
      <w:rPr/>
      <w:start w:val="1"/>
      <w:suff w:val="tab"/>
    </w:lvl>
    <w:lvl w:ilvl="6">
      <w:isLgl w:val="false"/>
      <w:lvlJc w:val="left"/>
      <w:lvlText w:val="%7."/>
      <w:numFmt w:val="decimal"/>
      <w:pPr>
        <w:pBdr/>
        <w:spacing/>
        <w:ind w:hanging="360" w:left="5106"/>
      </w:pPr>
      <w:rPr/>
      <w:start w:val="1"/>
      <w:suff w:val="tab"/>
    </w:lvl>
    <w:lvl w:ilvl="7">
      <w:isLgl w:val="false"/>
      <w:lvlJc w:val="left"/>
      <w:lvlText w:val="%8."/>
      <w:numFmt w:val="lowerLetter"/>
      <w:pPr>
        <w:pBdr/>
        <w:spacing/>
        <w:ind w:hanging="360" w:left="5826"/>
      </w:pPr>
      <w:rPr/>
      <w:start w:val="1"/>
      <w:suff w:val="tab"/>
    </w:lvl>
    <w:lvl w:ilvl="8">
      <w:isLgl w:val="false"/>
      <w:lvlJc w:val="right"/>
      <w:lvlText w:val="%9."/>
      <w:numFmt w:val="lowerRoman"/>
      <w:pPr>
        <w:pBdr/>
        <w:spacing/>
        <w:ind w:hanging="180" w:left="6546"/>
      </w:pPr>
      <w:rPr/>
      <w:start w:val="1"/>
      <w:suff w:val="tab"/>
    </w:lvl>
  </w:abstractNum>
  <w:abstractNum w:abstractNumId="7">
    <w:nsid w:val="259167DA"/>
    <w:lvl w:ilvl="0">
      <w:isLgl w:val="false"/>
      <w:lvlJc w:val="left"/>
      <w:lvlText w:val="-"/>
      <w:numFmt w:val="bullet"/>
      <w:pPr>
        <w:pBdr/>
        <w:spacing/>
        <w:ind w:hanging="360" w:left="720"/>
      </w:pPr>
      <w:rPr>
        <w:rFonts w:hint="default" w:ascii="Times New Roman" w:hAnsi="Times New Roman" w:eastAsia="Arial" w:cs="Times New Roman"/>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5A72BD5"/>
    <w:lvl w:ilvl="0">
      <w:isLgl w:val="false"/>
      <w:lvlJc w:val="left"/>
      <w:lvlText w:val="%1."/>
      <w:numFmt w:val="decimal"/>
      <w:pPr>
        <w:pBdr/>
        <w:spacing/>
        <w:ind w:hanging="360" w:left="810"/>
      </w:pPr>
      <w:rPr>
        <w:rFonts w:hint="default"/>
        <w:b/>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9">
    <w:nsid w:val="293B7B9A"/>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29D91E01"/>
    <w:lvl w:ilvl="0">
      <w:isLgl w:val="false"/>
      <w:lvlJc w:val="left"/>
      <w:lvlText w:val="-"/>
      <w:numFmt w:val="bullet"/>
      <w:pPr>
        <w:pBdr/>
        <w:spacing/>
        <w:ind w:hanging="360" w:left="99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710"/>
      </w:pPr>
      <w:rPr>
        <w:rFonts w:hint="default" w:ascii="Courier New" w:hAnsi="Courier New" w:cs="Courier New"/>
      </w:rPr>
      <w:start w:val="1"/>
      <w:suff w:val="tab"/>
    </w:lvl>
    <w:lvl w:ilvl="2">
      <w:isLgl w:val="false"/>
      <w:lvlJc w:val="left"/>
      <w:lvlText w:val=""/>
      <w:numFmt w:val="bullet"/>
      <w:pPr>
        <w:pBdr/>
        <w:spacing/>
        <w:ind w:hanging="360" w:left="2430"/>
      </w:pPr>
      <w:rPr>
        <w:rFonts w:hint="default" w:ascii="Wingdings" w:hAnsi="Wingdings"/>
      </w:rPr>
      <w:start w:val="1"/>
      <w:suff w:val="tab"/>
    </w:lvl>
    <w:lvl w:ilvl="3">
      <w:isLgl w:val="false"/>
      <w:lvlJc w:val="left"/>
      <w:lvlText w:val=""/>
      <w:numFmt w:val="bullet"/>
      <w:pPr>
        <w:pBdr/>
        <w:spacing/>
        <w:ind w:hanging="360" w:left="3150"/>
      </w:pPr>
      <w:rPr>
        <w:rFonts w:hint="default" w:ascii="Symbol" w:hAnsi="Symbol"/>
      </w:rPr>
      <w:start w:val="1"/>
      <w:suff w:val="tab"/>
    </w:lvl>
    <w:lvl w:ilvl="4">
      <w:isLgl w:val="false"/>
      <w:lvlJc w:val="left"/>
      <w:lvlText w:val="o"/>
      <w:numFmt w:val="bullet"/>
      <w:pPr>
        <w:pBdr/>
        <w:spacing/>
        <w:ind w:hanging="360" w:left="3870"/>
      </w:pPr>
      <w:rPr>
        <w:rFonts w:hint="default" w:ascii="Courier New" w:hAnsi="Courier New" w:cs="Courier New"/>
      </w:rPr>
      <w:start w:val="1"/>
      <w:suff w:val="tab"/>
    </w:lvl>
    <w:lvl w:ilvl="5">
      <w:isLgl w:val="false"/>
      <w:lvlJc w:val="left"/>
      <w:lvlText w:val=""/>
      <w:numFmt w:val="bullet"/>
      <w:pPr>
        <w:pBdr/>
        <w:spacing/>
        <w:ind w:hanging="360" w:left="4590"/>
      </w:pPr>
      <w:rPr>
        <w:rFonts w:hint="default" w:ascii="Wingdings" w:hAnsi="Wingdings"/>
      </w:rPr>
      <w:start w:val="1"/>
      <w:suff w:val="tab"/>
    </w:lvl>
    <w:lvl w:ilvl="6">
      <w:isLgl w:val="false"/>
      <w:lvlJc w:val="left"/>
      <w:lvlText w:val=""/>
      <w:numFmt w:val="bullet"/>
      <w:pPr>
        <w:pBdr/>
        <w:spacing/>
        <w:ind w:hanging="360" w:left="5310"/>
      </w:pPr>
      <w:rPr>
        <w:rFonts w:hint="default" w:ascii="Symbol" w:hAnsi="Symbol"/>
      </w:rPr>
      <w:start w:val="1"/>
      <w:suff w:val="tab"/>
    </w:lvl>
    <w:lvl w:ilvl="7">
      <w:isLgl w:val="false"/>
      <w:lvlJc w:val="left"/>
      <w:lvlText w:val="o"/>
      <w:numFmt w:val="bullet"/>
      <w:pPr>
        <w:pBdr/>
        <w:spacing/>
        <w:ind w:hanging="360" w:left="6030"/>
      </w:pPr>
      <w:rPr>
        <w:rFonts w:hint="default" w:ascii="Courier New" w:hAnsi="Courier New" w:cs="Courier New"/>
      </w:rPr>
      <w:start w:val="1"/>
      <w:suff w:val="tab"/>
    </w:lvl>
    <w:lvl w:ilvl="8">
      <w:isLgl w:val="false"/>
      <w:lvlJc w:val="left"/>
      <w:lvlText w:val=""/>
      <w:numFmt w:val="bullet"/>
      <w:pPr>
        <w:pBdr/>
        <w:spacing/>
        <w:ind w:hanging="360" w:left="6750"/>
      </w:pPr>
      <w:rPr>
        <w:rFonts w:hint="default" w:ascii="Wingdings" w:hAnsi="Wingdings"/>
      </w:rPr>
      <w:start w:val="1"/>
      <w:suff w:val="tab"/>
    </w:lvl>
  </w:abstractNum>
  <w:abstractNum w:abstractNumId="11">
    <w:nsid w:val="2F9767F5"/>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2">
    <w:nsid w:val="33C07C3B"/>
    <w:lvl w:ilvl="0">
      <w:isLgl w:val="false"/>
      <w:lvlJc w:val="left"/>
      <w:lvlText w:val="%1."/>
      <w:numFmt w:val="decimal"/>
      <w:pPr>
        <w:pBdr/>
        <w:spacing/>
        <w:ind w:hanging="360" w:left="1855"/>
      </w:pPr>
      <w:rPr>
        <w:rFonts w:hint="default"/>
      </w:rPr>
      <w:start w:val="1"/>
      <w:suff w:val="tab"/>
    </w:lvl>
    <w:lvl w:ilvl="1">
      <w:isLgl w:val="true"/>
      <w:lvlJc w:val="left"/>
      <w:lvlText w:val="%1.%2."/>
      <w:numFmt w:val="decimal"/>
      <w:pPr>
        <w:pBdr/>
        <w:spacing/>
        <w:ind w:hanging="720" w:left="1288"/>
      </w:pPr>
      <w:rPr>
        <w:rFonts w:hint="default"/>
        <w:i/>
      </w:rPr>
      <w:start w:val="1"/>
      <w:suff w:val="tab"/>
    </w:lvl>
    <w:lvl w:ilvl="2">
      <w:isLgl w:val="true"/>
      <w:lvlJc w:val="left"/>
      <w:lvlText w:val="%1.%2.%3."/>
      <w:numFmt w:val="decimal"/>
      <w:pPr>
        <w:pBdr/>
        <w:spacing/>
        <w:ind w:hanging="720" w:left="2215"/>
      </w:pPr>
      <w:rPr>
        <w:rFonts w:hint="default"/>
      </w:rPr>
      <w:start w:val="1"/>
      <w:suff w:val="tab"/>
    </w:lvl>
    <w:lvl w:ilvl="3">
      <w:isLgl w:val="true"/>
      <w:lvlJc w:val="left"/>
      <w:lvlText w:val="%1.%2.%3.%4."/>
      <w:numFmt w:val="decimal"/>
      <w:pPr>
        <w:pBdr/>
        <w:spacing/>
        <w:ind w:hanging="1080" w:left="2575"/>
      </w:pPr>
      <w:rPr>
        <w:rFonts w:hint="default"/>
      </w:rPr>
      <w:start w:val="1"/>
      <w:suff w:val="tab"/>
    </w:lvl>
    <w:lvl w:ilvl="4">
      <w:isLgl w:val="true"/>
      <w:lvlJc w:val="left"/>
      <w:lvlText w:val="%1.%2.%3.%4.%5."/>
      <w:numFmt w:val="decimal"/>
      <w:pPr>
        <w:pBdr/>
        <w:spacing/>
        <w:ind w:hanging="1080" w:left="2575"/>
      </w:pPr>
      <w:rPr>
        <w:rFonts w:hint="default"/>
      </w:rPr>
      <w:start w:val="1"/>
      <w:suff w:val="tab"/>
    </w:lvl>
    <w:lvl w:ilvl="5">
      <w:isLgl w:val="true"/>
      <w:lvlJc w:val="left"/>
      <w:lvlText w:val="%1.%2.%3.%4.%5.%6."/>
      <w:numFmt w:val="decimal"/>
      <w:pPr>
        <w:pBdr/>
        <w:spacing/>
        <w:ind w:hanging="1440" w:left="2935"/>
      </w:pPr>
      <w:rPr>
        <w:rFonts w:hint="default"/>
      </w:rPr>
      <w:start w:val="1"/>
      <w:suff w:val="tab"/>
    </w:lvl>
    <w:lvl w:ilvl="6">
      <w:isLgl w:val="true"/>
      <w:lvlJc w:val="left"/>
      <w:lvlText w:val="%1.%2.%3.%4.%5.%6.%7."/>
      <w:numFmt w:val="decimal"/>
      <w:pPr>
        <w:pBdr/>
        <w:spacing/>
        <w:ind w:hanging="1440" w:left="2935"/>
      </w:pPr>
      <w:rPr>
        <w:rFonts w:hint="default"/>
      </w:rPr>
      <w:start w:val="1"/>
      <w:suff w:val="tab"/>
    </w:lvl>
    <w:lvl w:ilvl="7">
      <w:isLgl w:val="true"/>
      <w:lvlJc w:val="left"/>
      <w:lvlText w:val="%1.%2.%3.%4.%5.%6.%7.%8."/>
      <w:numFmt w:val="decimal"/>
      <w:pPr>
        <w:pBdr/>
        <w:spacing/>
        <w:ind w:hanging="1800" w:left="3295"/>
      </w:pPr>
      <w:rPr>
        <w:rFonts w:hint="default"/>
      </w:rPr>
      <w:start w:val="1"/>
      <w:suff w:val="tab"/>
    </w:lvl>
    <w:lvl w:ilvl="8">
      <w:isLgl w:val="true"/>
      <w:lvlJc w:val="left"/>
      <w:lvlText w:val="%1.%2.%3.%4.%5.%6.%7.%8.%9."/>
      <w:numFmt w:val="decimal"/>
      <w:pPr>
        <w:pBdr/>
        <w:spacing/>
        <w:ind w:hanging="1800" w:left="3295"/>
      </w:pPr>
      <w:rPr>
        <w:rFonts w:hint="default"/>
      </w:rPr>
      <w:start w:val="1"/>
      <w:suff w:val="tab"/>
    </w:lvl>
  </w:abstractNum>
  <w:abstractNum w:abstractNumId="13">
    <w:nsid w:val="36A354AD"/>
    <w:lvl w:ilvl="0">
      <w:isLgl w:val="false"/>
      <w:lvlJc w:val="left"/>
      <w:lvlText w:val="%1."/>
      <w:numFmt w:val="upperRoman"/>
      <w:pPr>
        <w:pBdr/>
        <w:spacing/>
        <w:ind w:hanging="360" w:left="1353"/>
      </w:pPr>
      <w:rPr>
        <w:rFonts w:hint="default"/>
      </w:rPr>
      <w:start w:val="1"/>
      <w:suff w:val="tab"/>
    </w:lvl>
    <w:lvl w:ilvl="1">
      <w:isLgl w:val="false"/>
      <w:lvlJc w:val="left"/>
      <w:lvlText w:val="%2."/>
      <w:numFmt w:val="lowerLetter"/>
      <w:pPr>
        <w:pBdr/>
        <w:spacing/>
        <w:ind w:hanging="360" w:left="2007"/>
      </w:pPr>
      <w:rPr/>
      <w:start w:val="1"/>
      <w:suff w:val="tab"/>
    </w:lvl>
    <w:lvl w:ilvl="2">
      <w:isLgl w:val="false"/>
      <w:lvlJc w:val="right"/>
      <w:lvlText w:val="%3."/>
      <w:numFmt w:val="lowerRoman"/>
      <w:pPr>
        <w:pBdr/>
        <w:spacing/>
        <w:ind w:hanging="180" w:left="2727"/>
      </w:pPr>
      <w:rPr/>
      <w:start w:val="1"/>
      <w:suff w:val="tab"/>
    </w:lvl>
    <w:lvl w:ilvl="3">
      <w:isLgl w:val="false"/>
      <w:lvlJc w:val="left"/>
      <w:lvlText w:val="%4."/>
      <w:numFmt w:val="decimal"/>
      <w:pPr>
        <w:pBdr/>
        <w:spacing/>
        <w:ind w:hanging="360" w:left="3447"/>
      </w:pPr>
      <w:rPr/>
      <w:start w:val="1"/>
      <w:suff w:val="tab"/>
    </w:lvl>
    <w:lvl w:ilvl="4">
      <w:isLgl w:val="false"/>
      <w:lvlJc w:val="left"/>
      <w:lvlText w:val="%5."/>
      <w:numFmt w:val="lowerLetter"/>
      <w:pPr>
        <w:pBdr/>
        <w:spacing/>
        <w:ind w:hanging="360" w:left="4167"/>
      </w:pPr>
      <w:rPr/>
      <w:start w:val="1"/>
      <w:suff w:val="tab"/>
    </w:lvl>
    <w:lvl w:ilvl="5">
      <w:isLgl w:val="false"/>
      <w:lvlJc w:val="right"/>
      <w:lvlText w:val="%6."/>
      <w:numFmt w:val="lowerRoman"/>
      <w:pPr>
        <w:pBdr/>
        <w:spacing/>
        <w:ind w:hanging="180" w:left="4887"/>
      </w:pPr>
      <w:rPr/>
      <w:start w:val="1"/>
      <w:suff w:val="tab"/>
    </w:lvl>
    <w:lvl w:ilvl="6">
      <w:isLgl w:val="false"/>
      <w:lvlJc w:val="left"/>
      <w:lvlText w:val="%7."/>
      <w:numFmt w:val="decimal"/>
      <w:pPr>
        <w:pBdr/>
        <w:spacing/>
        <w:ind w:hanging="360" w:left="5607"/>
      </w:pPr>
      <w:rPr/>
      <w:start w:val="1"/>
      <w:suff w:val="tab"/>
    </w:lvl>
    <w:lvl w:ilvl="7">
      <w:isLgl w:val="false"/>
      <w:lvlJc w:val="left"/>
      <w:lvlText w:val="%8."/>
      <w:numFmt w:val="lowerLetter"/>
      <w:pPr>
        <w:pBdr/>
        <w:spacing/>
        <w:ind w:hanging="360" w:left="6327"/>
      </w:pPr>
      <w:rPr/>
      <w:start w:val="1"/>
      <w:suff w:val="tab"/>
    </w:lvl>
    <w:lvl w:ilvl="8">
      <w:isLgl w:val="false"/>
      <w:lvlJc w:val="right"/>
      <w:lvlText w:val="%9."/>
      <w:numFmt w:val="lowerRoman"/>
      <w:pPr>
        <w:pBdr/>
        <w:spacing/>
        <w:ind w:hanging="180" w:left="7047"/>
      </w:pPr>
      <w:rPr/>
      <w:start w:val="1"/>
      <w:suff w:val="tab"/>
    </w:lvl>
  </w:abstractNum>
  <w:abstractNum w:abstractNumId="14">
    <w:nsid w:val="38C5225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3B1007BD"/>
    <w:lvl w:ilvl="0">
      <w:isLgl w:val="false"/>
      <w:lvlJc w:val="left"/>
      <w:lvlText w:val="%1."/>
      <w:numFmt w:val="upperRoman"/>
      <w:pPr>
        <w:pBdr/>
        <w:spacing/>
        <w:ind w:hanging="720" w:left="1575"/>
      </w:pPr>
      <w:rPr>
        <w:rFonts w:hint="default"/>
      </w:rPr>
      <w:start w:val="2"/>
      <w:suff w:val="tab"/>
    </w:lvl>
    <w:lvl w:ilvl="1">
      <w:isLgl w:val="false"/>
      <w:lvlJc w:val="left"/>
      <w:lvlText w:val="%2."/>
      <w:numFmt w:val="lowerLetter"/>
      <w:pPr>
        <w:pBdr/>
        <w:spacing/>
        <w:ind w:hanging="360" w:left="1935"/>
      </w:pPr>
      <w:rPr/>
      <w:start w:val="1"/>
      <w:suff w:val="tab"/>
    </w:lvl>
    <w:lvl w:ilvl="2">
      <w:isLgl w:val="false"/>
      <w:lvlJc w:val="right"/>
      <w:lvlText w:val="%3."/>
      <w:numFmt w:val="lowerRoman"/>
      <w:pPr>
        <w:pBdr/>
        <w:spacing/>
        <w:ind w:hanging="180" w:left="2655"/>
      </w:pPr>
      <w:rPr/>
      <w:start w:val="1"/>
      <w:suff w:val="tab"/>
    </w:lvl>
    <w:lvl w:ilvl="3">
      <w:isLgl w:val="false"/>
      <w:lvlJc w:val="left"/>
      <w:lvlText w:val="%4."/>
      <w:numFmt w:val="decimal"/>
      <w:pPr>
        <w:pBdr/>
        <w:spacing/>
        <w:ind w:hanging="360" w:left="3375"/>
      </w:pPr>
      <w:rPr/>
      <w:start w:val="1"/>
      <w:suff w:val="tab"/>
    </w:lvl>
    <w:lvl w:ilvl="4">
      <w:isLgl w:val="false"/>
      <w:lvlJc w:val="left"/>
      <w:lvlText w:val="%5."/>
      <w:numFmt w:val="lowerLetter"/>
      <w:pPr>
        <w:pBdr/>
        <w:spacing/>
        <w:ind w:hanging="360" w:left="4095"/>
      </w:pPr>
      <w:rPr/>
      <w:start w:val="1"/>
      <w:suff w:val="tab"/>
    </w:lvl>
    <w:lvl w:ilvl="5">
      <w:isLgl w:val="false"/>
      <w:lvlJc w:val="right"/>
      <w:lvlText w:val="%6."/>
      <w:numFmt w:val="lowerRoman"/>
      <w:pPr>
        <w:pBdr/>
        <w:spacing/>
        <w:ind w:hanging="180" w:left="4815"/>
      </w:pPr>
      <w:rPr/>
      <w:start w:val="1"/>
      <w:suff w:val="tab"/>
    </w:lvl>
    <w:lvl w:ilvl="6">
      <w:isLgl w:val="false"/>
      <w:lvlJc w:val="left"/>
      <w:lvlText w:val="%7."/>
      <w:numFmt w:val="decimal"/>
      <w:pPr>
        <w:pBdr/>
        <w:spacing/>
        <w:ind w:hanging="360" w:left="5535"/>
      </w:pPr>
      <w:rPr/>
      <w:start w:val="1"/>
      <w:suff w:val="tab"/>
    </w:lvl>
    <w:lvl w:ilvl="7">
      <w:isLgl w:val="false"/>
      <w:lvlJc w:val="left"/>
      <w:lvlText w:val="%8."/>
      <w:numFmt w:val="lowerLetter"/>
      <w:pPr>
        <w:pBdr/>
        <w:spacing/>
        <w:ind w:hanging="360" w:left="6255"/>
      </w:pPr>
      <w:rPr/>
      <w:start w:val="1"/>
      <w:suff w:val="tab"/>
    </w:lvl>
    <w:lvl w:ilvl="8">
      <w:isLgl w:val="false"/>
      <w:lvlJc w:val="right"/>
      <w:lvlText w:val="%9."/>
      <w:numFmt w:val="lowerRoman"/>
      <w:pPr>
        <w:pBdr/>
        <w:spacing/>
        <w:ind w:hanging="180" w:left="6975"/>
      </w:pPr>
      <w:rPr/>
      <w:start w:val="1"/>
      <w:suff w:val="tab"/>
    </w:lvl>
  </w:abstractNum>
  <w:abstractNum w:abstractNumId="16">
    <w:nsid w:val="4870457B"/>
    <w:lvl w:ilvl="0">
      <w:isLgl w:val="false"/>
      <w:lvlJc w:val="left"/>
      <w:lvlText w:val="%1."/>
      <w:numFmt w:val="decimal"/>
      <w:pPr>
        <w:pBdr/>
        <w:spacing/>
        <w:ind w:hanging="390" w:left="532"/>
      </w:pPr>
      <w:rPr>
        <w:rFonts w:hint="default"/>
      </w:rPr>
      <w:start w:val="4"/>
      <w:suff w:val="tab"/>
    </w:lvl>
    <w:lvl w:ilvl="1">
      <w:isLgl w:val="false"/>
      <w:lvlJc w:val="left"/>
      <w:lvlText w:val="%1.%2."/>
      <w:numFmt w:val="decimal"/>
      <w:pPr>
        <w:pBdr/>
        <w:spacing/>
        <w:ind w:hanging="720" w:left="1166"/>
      </w:pPr>
      <w:rPr>
        <w:rFonts w:hint="default"/>
      </w:rPr>
      <w:start w:val="1"/>
      <w:suff w:val="tab"/>
    </w:lvl>
    <w:lvl w:ilvl="2">
      <w:isLgl w:val="false"/>
      <w:lvlJc w:val="left"/>
      <w:lvlText w:val="%1.%2.%3."/>
      <w:numFmt w:val="decimal"/>
      <w:pPr>
        <w:pBdr/>
        <w:spacing/>
        <w:ind w:hanging="720" w:left="1612"/>
      </w:pPr>
      <w:rPr>
        <w:rFonts w:hint="default"/>
      </w:rPr>
      <w:start w:val="1"/>
      <w:suff w:val="tab"/>
    </w:lvl>
    <w:lvl w:ilvl="3">
      <w:isLgl w:val="false"/>
      <w:lvlJc w:val="left"/>
      <w:lvlText w:val="%1.%2.%3.%4."/>
      <w:numFmt w:val="decimal"/>
      <w:pPr>
        <w:pBdr/>
        <w:spacing/>
        <w:ind w:hanging="1080" w:left="2418"/>
      </w:pPr>
      <w:rPr>
        <w:rFonts w:hint="default"/>
      </w:rPr>
      <w:start w:val="1"/>
      <w:suff w:val="tab"/>
    </w:lvl>
    <w:lvl w:ilvl="4">
      <w:isLgl w:val="false"/>
      <w:lvlJc w:val="left"/>
      <w:lvlText w:val="%1.%2.%3.%4.%5."/>
      <w:numFmt w:val="decimal"/>
      <w:pPr>
        <w:pBdr/>
        <w:spacing/>
        <w:ind w:hanging="1080" w:left="2864"/>
      </w:pPr>
      <w:rPr>
        <w:rFonts w:hint="default"/>
      </w:rPr>
      <w:start w:val="1"/>
      <w:suff w:val="tab"/>
    </w:lvl>
    <w:lvl w:ilvl="5">
      <w:isLgl w:val="false"/>
      <w:lvlJc w:val="left"/>
      <w:lvlText w:val="%1.%2.%3.%4.%5.%6."/>
      <w:numFmt w:val="decimal"/>
      <w:pPr>
        <w:pBdr/>
        <w:spacing/>
        <w:ind w:hanging="1440" w:left="3670"/>
      </w:pPr>
      <w:rPr>
        <w:rFonts w:hint="default"/>
      </w:rPr>
      <w:start w:val="1"/>
      <w:suff w:val="tab"/>
    </w:lvl>
    <w:lvl w:ilvl="6">
      <w:isLgl w:val="false"/>
      <w:lvlJc w:val="left"/>
      <w:lvlText w:val="%1.%2.%3.%4.%5.%6.%7."/>
      <w:numFmt w:val="decimal"/>
      <w:pPr>
        <w:pBdr/>
        <w:spacing/>
        <w:ind w:hanging="1440" w:left="4116"/>
      </w:pPr>
      <w:rPr>
        <w:rFonts w:hint="default"/>
      </w:rPr>
      <w:start w:val="1"/>
      <w:suff w:val="tab"/>
    </w:lvl>
    <w:lvl w:ilvl="7">
      <w:isLgl w:val="false"/>
      <w:lvlJc w:val="left"/>
      <w:lvlText w:val="%1.%2.%3.%4.%5.%6.%7.%8."/>
      <w:numFmt w:val="decimal"/>
      <w:pPr>
        <w:pBdr/>
        <w:spacing/>
        <w:ind w:hanging="1800" w:left="4922"/>
      </w:pPr>
      <w:rPr>
        <w:rFonts w:hint="default"/>
      </w:rPr>
      <w:start w:val="1"/>
      <w:suff w:val="tab"/>
    </w:lvl>
    <w:lvl w:ilvl="8">
      <w:isLgl w:val="false"/>
      <w:lvlJc w:val="left"/>
      <w:lvlText w:val="%1.%2.%3.%4.%5.%6.%7.%8.%9."/>
      <w:numFmt w:val="decimal"/>
      <w:pPr>
        <w:pBdr/>
        <w:spacing/>
        <w:ind w:hanging="1800" w:left="5368"/>
      </w:pPr>
      <w:rPr>
        <w:rFonts w:hint="default"/>
      </w:rPr>
      <w:start w:val="1"/>
      <w:suff w:val="tab"/>
    </w:lvl>
  </w:abstractNum>
  <w:abstractNum w:abstractNumId="17">
    <w:nsid w:val="492E2B43"/>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8">
    <w:nsid w:val="49562540"/>
    <w:lvl w:ilvl="0">
      <w:isLgl w:val="false"/>
      <w:lvlJc w:val="left"/>
      <w:lvlText w:val="%1."/>
      <w:numFmt w:val="decimal"/>
      <w:pPr>
        <w:pBdr/>
        <w:spacing/>
        <w:ind w:hanging="360" w:left="1170"/>
      </w:pPr>
      <w:rPr>
        <w:b/>
      </w:rPr>
      <w:start w:val="1"/>
      <w:suff w:val="tab"/>
    </w:lvl>
    <w:lvl w:ilvl="1">
      <w:isLgl w:val="true"/>
      <w:lvlJc w:val="left"/>
      <w:lvlText w:val="%1.%2."/>
      <w:numFmt w:val="decimal"/>
      <w:pPr>
        <w:pBdr/>
        <w:spacing/>
        <w:ind w:hanging="720" w:left="1530"/>
      </w:pPr>
      <w:rPr>
        <w:rFonts w:hint="default"/>
      </w:rPr>
      <w:start w:val="1"/>
      <w:suff w:val="tab"/>
    </w:lvl>
    <w:lvl w:ilvl="2">
      <w:isLgl w:val="true"/>
      <w:lvlJc w:val="left"/>
      <w:lvlText w:val="%1.%2.%3."/>
      <w:numFmt w:val="decimal"/>
      <w:pPr>
        <w:pBdr/>
        <w:spacing/>
        <w:ind w:hanging="720" w:left="1530"/>
      </w:pPr>
      <w:rPr>
        <w:rFonts w:hint="default"/>
      </w:rPr>
      <w:start w:val="1"/>
      <w:suff w:val="tab"/>
    </w:lvl>
    <w:lvl w:ilvl="3">
      <w:isLgl w:val="true"/>
      <w:lvlJc w:val="left"/>
      <w:lvlText w:val="%1.%2.%3.%4."/>
      <w:numFmt w:val="decimal"/>
      <w:pPr>
        <w:pBdr/>
        <w:spacing/>
        <w:ind w:hanging="1080" w:left="1890"/>
      </w:pPr>
      <w:rPr>
        <w:rFonts w:hint="default"/>
      </w:rPr>
      <w:start w:val="1"/>
      <w:suff w:val="tab"/>
    </w:lvl>
    <w:lvl w:ilvl="4">
      <w:isLgl w:val="true"/>
      <w:lvlJc w:val="left"/>
      <w:lvlText w:val="%1.%2.%3.%4.%5."/>
      <w:numFmt w:val="decimal"/>
      <w:pPr>
        <w:pBdr/>
        <w:spacing/>
        <w:ind w:hanging="1080" w:left="1890"/>
      </w:pPr>
      <w:rPr>
        <w:rFonts w:hint="default"/>
      </w:rPr>
      <w:start w:val="1"/>
      <w:suff w:val="tab"/>
    </w:lvl>
    <w:lvl w:ilvl="5">
      <w:isLgl w:val="true"/>
      <w:lvlJc w:val="left"/>
      <w:lvlText w:val="%1.%2.%3.%4.%5.%6."/>
      <w:numFmt w:val="decimal"/>
      <w:pPr>
        <w:pBdr/>
        <w:spacing/>
        <w:ind w:hanging="1440" w:left="2250"/>
      </w:pPr>
      <w:rPr>
        <w:rFonts w:hint="default"/>
      </w:rPr>
      <w:start w:val="1"/>
      <w:suff w:val="tab"/>
    </w:lvl>
    <w:lvl w:ilvl="6">
      <w:isLgl w:val="true"/>
      <w:lvlJc w:val="left"/>
      <w:lvlText w:val="%1.%2.%3.%4.%5.%6.%7."/>
      <w:numFmt w:val="decimal"/>
      <w:pPr>
        <w:pBdr/>
        <w:spacing/>
        <w:ind w:hanging="1440" w:left="2250"/>
      </w:pPr>
      <w:rPr>
        <w:rFonts w:hint="default"/>
      </w:rPr>
      <w:start w:val="1"/>
      <w:suff w:val="tab"/>
    </w:lvl>
    <w:lvl w:ilvl="7">
      <w:isLgl w:val="true"/>
      <w:lvlJc w:val="left"/>
      <w:lvlText w:val="%1.%2.%3.%4.%5.%6.%7.%8."/>
      <w:numFmt w:val="decimal"/>
      <w:pPr>
        <w:pBdr/>
        <w:spacing/>
        <w:ind w:hanging="1800" w:left="2610"/>
      </w:pPr>
      <w:rPr>
        <w:rFonts w:hint="default"/>
      </w:rPr>
      <w:start w:val="1"/>
      <w:suff w:val="tab"/>
    </w:lvl>
    <w:lvl w:ilvl="8">
      <w:isLgl w:val="true"/>
      <w:lvlJc w:val="left"/>
      <w:lvlText w:val="%1.%2.%3.%4.%5.%6.%7.%8.%9."/>
      <w:numFmt w:val="decimal"/>
      <w:pPr>
        <w:pBdr/>
        <w:spacing/>
        <w:ind w:hanging="1800" w:left="2610"/>
      </w:pPr>
      <w:rPr>
        <w:rFonts w:hint="default"/>
      </w:rPr>
      <w:start w:val="1"/>
      <w:suff w:val="tab"/>
    </w:lvl>
  </w:abstractNum>
  <w:abstractNum w:abstractNumId="19">
    <w:nsid w:val="4A736E0F"/>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D4C30C0"/>
    <w:lvl w:ilvl="0">
      <w:isLgl w:val="false"/>
      <w:lvlJc w:val="left"/>
      <w:lvlText w:val=""/>
      <w:numFmt w:val="bullet"/>
      <w:pPr>
        <w:pBdr/>
        <w:spacing/>
        <w:ind w:hanging="360" w:left="927"/>
      </w:pPr>
      <w:rPr>
        <w:rFonts w:hint="default" w:ascii="Wingdings" w:hAnsi="Wingdings" w:eastAsia="Times New Roman" w:cs="Times New Roman"/>
        <w:b/>
      </w:rPr>
      <w:start w:val="673"/>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1">
    <w:nsid w:val="56A77DAF"/>
    <w:lvl w:ilvl="0">
      <w:isLgl w:val="false"/>
      <w:lvlJc w:val="left"/>
      <w:lvlText w:val="%1."/>
      <w:numFmt w:val="decimal"/>
      <w:pPr>
        <w:pBdr/>
        <w:spacing/>
        <w:ind w:hanging="360" w:left="2520"/>
      </w:pPr>
      <w:rPr>
        <w:b/>
      </w:rPr>
      <w:start w:val="1"/>
      <w:suff w:val="tab"/>
    </w:lvl>
    <w:lvl w:ilvl="1">
      <w:isLgl w:val="true"/>
      <w:lvlJc w:val="left"/>
      <w:lvlText w:val="%1.%2."/>
      <w:numFmt w:val="decimal"/>
      <w:pPr>
        <w:pBdr/>
        <w:spacing/>
        <w:ind w:hanging="720" w:left="2970"/>
      </w:pPr>
      <w:rPr>
        <w:rFonts w:hint="default"/>
        <w:b/>
      </w:rPr>
      <w:start w:val="1"/>
      <w:suff w:val="tab"/>
    </w:lvl>
    <w:lvl w:ilvl="2">
      <w:isLgl w:val="true"/>
      <w:lvlJc w:val="left"/>
      <w:lvlText w:val="%1.%2.%3."/>
      <w:numFmt w:val="decimal"/>
      <w:pPr>
        <w:pBdr/>
        <w:spacing/>
        <w:ind w:hanging="720" w:left="3060"/>
      </w:pPr>
      <w:rPr>
        <w:rFonts w:hint="default"/>
        <w:b/>
      </w:rPr>
      <w:start w:val="1"/>
      <w:suff w:val="tab"/>
    </w:lvl>
    <w:lvl w:ilvl="3">
      <w:isLgl w:val="true"/>
      <w:lvlJc w:val="left"/>
      <w:lvlText w:val="%1.%2.%3.%4."/>
      <w:numFmt w:val="decimal"/>
      <w:pPr>
        <w:pBdr/>
        <w:spacing/>
        <w:ind w:hanging="1080" w:left="3510"/>
      </w:pPr>
      <w:rPr>
        <w:rFonts w:hint="default"/>
        <w:b/>
      </w:rPr>
      <w:start w:val="1"/>
      <w:suff w:val="tab"/>
    </w:lvl>
    <w:lvl w:ilvl="4">
      <w:isLgl w:val="true"/>
      <w:lvlJc w:val="left"/>
      <w:lvlText w:val="%1.%2.%3.%4.%5."/>
      <w:numFmt w:val="decimal"/>
      <w:pPr>
        <w:pBdr/>
        <w:spacing/>
        <w:ind w:hanging="1080" w:left="3600"/>
      </w:pPr>
      <w:rPr>
        <w:rFonts w:hint="default"/>
        <w:b/>
      </w:rPr>
      <w:start w:val="1"/>
      <w:suff w:val="tab"/>
    </w:lvl>
    <w:lvl w:ilvl="5">
      <w:isLgl w:val="true"/>
      <w:lvlJc w:val="left"/>
      <w:lvlText w:val="%1.%2.%3.%4.%5.%6."/>
      <w:numFmt w:val="decimal"/>
      <w:pPr>
        <w:pBdr/>
        <w:spacing/>
        <w:ind w:hanging="1440" w:left="4050"/>
      </w:pPr>
      <w:rPr>
        <w:rFonts w:hint="default"/>
        <w:b/>
      </w:rPr>
      <w:start w:val="1"/>
      <w:suff w:val="tab"/>
    </w:lvl>
    <w:lvl w:ilvl="6">
      <w:isLgl w:val="true"/>
      <w:lvlJc w:val="left"/>
      <w:lvlText w:val="%1.%2.%3.%4.%5.%6.%7."/>
      <w:numFmt w:val="decimal"/>
      <w:pPr>
        <w:pBdr/>
        <w:spacing/>
        <w:ind w:hanging="1440" w:left="4140"/>
      </w:pPr>
      <w:rPr>
        <w:rFonts w:hint="default"/>
        <w:b/>
      </w:rPr>
      <w:start w:val="1"/>
      <w:suff w:val="tab"/>
    </w:lvl>
    <w:lvl w:ilvl="7">
      <w:isLgl w:val="true"/>
      <w:lvlJc w:val="left"/>
      <w:lvlText w:val="%1.%2.%3.%4.%5.%6.%7.%8."/>
      <w:numFmt w:val="decimal"/>
      <w:pPr>
        <w:pBdr/>
        <w:spacing/>
        <w:ind w:hanging="1800" w:left="4590"/>
      </w:pPr>
      <w:rPr>
        <w:rFonts w:hint="default"/>
        <w:b/>
      </w:rPr>
      <w:start w:val="1"/>
      <w:suff w:val="tab"/>
    </w:lvl>
    <w:lvl w:ilvl="8">
      <w:isLgl w:val="true"/>
      <w:lvlJc w:val="left"/>
      <w:lvlText w:val="%1.%2.%3.%4.%5.%6.%7.%8.%9."/>
      <w:numFmt w:val="decimal"/>
      <w:pPr>
        <w:pBdr/>
        <w:spacing/>
        <w:ind w:hanging="1800" w:left="4680"/>
      </w:pPr>
      <w:rPr>
        <w:rFonts w:hint="default"/>
        <w:b/>
      </w:rPr>
      <w:start w:val="1"/>
      <w:suff w:val="tab"/>
    </w:lvl>
  </w:abstractNum>
  <w:abstractNum w:abstractNumId="22">
    <w:nsid w:val="57341B80"/>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E6A559D"/>
    <w:lvl w:ilvl="0">
      <w:isLgl w:val="false"/>
      <w:lvlJc w:val="left"/>
      <w:lvlText w:val="%1."/>
      <w:numFmt w:val="upperRoman"/>
      <w:pPr>
        <w:pBdr/>
        <w:spacing/>
        <w:ind w:hanging="720" w:left="117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24">
    <w:nsid w:val="64BC4F7A"/>
    <w:lvl w:ilvl="0">
      <w:isLgl w:val="false"/>
      <w:lvlJc w:val="left"/>
      <w:lvlText w:val="-"/>
      <w:numFmt w:val="bullet"/>
      <w:pPr>
        <w:pBdr/>
        <w:spacing/>
        <w:ind w:hanging="360" w:left="1080"/>
      </w:pPr>
      <w:rPr>
        <w:rFonts w:hint="default" w:ascii="Times New Roman" w:hAnsi="Times New Roman" w:eastAsia="Times New Roman" w:cs="Times New Roman"/>
      </w:rPr>
      <w:start w:val="8"/>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5">
    <w:nsid w:val="727E1BB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74E37D76"/>
    <w:lvl w:ilvl="0">
      <w:isLgl w:val="false"/>
      <w:lvlJc w:val="left"/>
      <w:lvlText w:val="-"/>
      <w:numFmt w:val="bullet"/>
      <w:pPr>
        <w:pBdr/>
        <w:spacing/>
        <w:ind w:hanging="360" w:left="1287"/>
      </w:pPr>
      <w:rPr>
        <w:rFonts w:hint="default" w:ascii="Times New Roman" w:hAnsi="Times New Roman" w:eastAsia="Times New Roman" w:cs="Times New Roman"/>
        <w:color w:val="auto"/>
      </w:rPr>
      <w:start w:val="2"/>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27">
    <w:nsid w:val="753833A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7D515838"/>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num w:numId="1">
    <w:abstractNumId w:val="21"/>
  </w:num>
  <w:num w:numId="2">
    <w:abstractNumId w:val="18"/>
  </w:num>
  <w:num w:numId="3">
    <w:abstractNumId w:val="11"/>
  </w:num>
  <w:num w:numId="4">
    <w:abstractNumId w:val="8"/>
  </w:num>
  <w:num w:numId="5">
    <w:abstractNumId w:val="16"/>
  </w:num>
  <w:num w:numId="6">
    <w:abstractNumId w:val="13"/>
  </w:num>
  <w:num w:numId="7">
    <w:abstractNumId w:val="5"/>
  </w:num>
  <w:num w:numId="8">
    <w:abstractNumId w:val="15"/>
  </w:num>
  <w:num w:numId="9">
    <w:abstractNumId w:val="12"/>
  </w:num>
  <w:num w:numId="10">
    <w:abstractNumId w:val="2"/>
  </w:num>
  <w:num w:numId="11">
    <w:abstractNumId w:val="20"/>
  </w:num>
  <w:num w:numId="12">
    <w:abstractNumId w:val="26"/>
  </w:num>
  <w:num w:numId="13">
    <w:abstractNumId w:val="3"/>
  </w:num>
  <w:num w:numId="14">
    <w:abstractNumId w:val="6"/>
  </w:num>
  <w:num w:numId="15">
    <w:abstractNumId w:val="25"/>
  </w:num>
  <w:num w:numId="16">
    <w:abstractNumId w:val="19"/>
  </w:num>
  <w:num w:numId="17">
    <w:abstractNumId w:val="0"/>
  </w:num>
  <w:num w:numId="18">
    <w:abstractNumId w:val="4"/>
  </w:num>
  <w:num w:numId="19">
    <w:abstractNumId w:val="22"/>
  </w:num>
  <w:num w:numId="20">
    <w:abstractNumId w:val="9"/>
  </w:num>
  <w:num w:numId="21">
    <w:abstractNumId w:val="23"/>
  </w:num>
  <w:num w:numId="22">
    <w:abstractNumId w:val="17"/>
  </w:num>
  <w:num w:numId="23">
    <w:abstractNumId w:val="7"/>
  </w:num>
  <w:num w:numId="24">
    <w:abstractNumId w:val="10"/>
  </w:num>
  <w:num w:numId="25">
    <w:abstractNumId w:val="28"/>
  </w:num>
  <w:num w:numId="26">
    <w:abstractNumId w:val="24"/>
  </w:num>
  <w:num w:numId="27">
    <w:abstractNumId w:val="14"/>
  </w:num>
  <w:num w:numId="28">
    <w:abstractNumId w:val="1"/>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8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8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8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8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8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8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1">
    <w:name w:val="Subtitle"/>
    <w:basedOn w:val="792"/>
    <w:next w:val="792"/>
    <w:link w:val="162"/>
    <w:uiPriority w:val="11"/>
    <w:qFormat/>
    <w:pPr>
      <w:numPr>
        <w:ilvl w:val="1"/>
      </w:numPr>
      <w:pBdr/>
      <w:spacing/>
      <w:ind/>
    </w:pPr>
    <w:rPr>
      <w:color w:val="595959" w:themeColor="text1" w:themeTint="A6"/>
      <w:spacing w:val="15"/>
      <w:sz w:val="28"/>
      <w:szCs w:val="28"/>
    </w:rPr>
  </w:style>
  <w:style w:type="character" w:styleId="162">
    <w:name w:val="Subtitle Char"/>
    <w:basedOn w:val="802"/>
    <w:link w:val="161"/>
    <w:uiPriority w:val="11"/>
    <w:pPr>
      <w:pBdr/>
      <w:spacing/>
      <w:ind/>
    </w:pPr>
    <w:rPr>
      <w:color w:val="595959" w:themeColor="text1" w:themeTint="A6"/>
      <w:spacing w:val="15"/>
      <w:sz w:val="28"/>
      <w:szCs w:val="28"/>
    </w:rPr>
  </w:style>
  <w:style w:type="paragraph" w:styleId="163">
    <w:name w:val="Quote"/>
    <w:basedOn w:val="792"/>
    <w:next w:val="792"/>
    <w:link w:val="164"/>
    <w:uiPriority w:val="29"/>
    <w:qFormat/>
    <w:pPr>
      <w:pBdr/>
      <w:spacing w:before="160"/>
      <w:ind/>
      <w:jc w:val="center"/>
    </w:pPr>
    <w:rPr>
      <w:i/>
      <w:iCs/>
      <w:color w:val="404040" w:themeColor="text1" w:themeTint="BF"/>
    </w:rPr>
  </w:style>
  <w:style w:type="character" w:styleId="164">
    <w:name w:val="Quote Char"/>
    <w:basedOn w:val="802"/>
    <w:link w:val="163"/>
    <w:uiPriority w:val="29"/>
    <w:pPr>
      <w:pBdr/>
      <w:spacing/>
      <w:ind/>
    </w:pPr>
    <w:rPr>
      <w:i/>
      <w:iCs/>
      <w:color w:val="404040" w:themeColor="text1" w:themeTint="BF"/>
    </w:rPr>
  </w:style>
  <w:style w:type="character" w:styleId="166">
    <w:name w:val="Intense Emphasis"/>
    <w:basedOn w:val="802"/>
    <w:uiPriority w:val="21"/>
    <w:qFormat/>
    <w:pPr>
      <w:pBdr/>
      <w:spacing/>
      <w:ind/>
    </w:pPr>
    <w:rPr>
      <w:i/>
      <w:iCs/>
      <w:color w:val="0f4761" w:themeColor="accent1" w:themeShade="BF"/>
    </w:rPr>
  </w:style>
  <w:style w:type="paragraph" w:styleId="167">
    <w:name w:val="Intense Quote"/>
    <w:basedOn w:val="792"/>
    <w:next w:val="79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02"/>
    <w:link w:val="167"/>
    <w:uiPriority w:val="30"/>
    <w:pPr>
      <w:pBdr/>
      <w:spacing/>
      <w:ind/>
    </w:pPr>
    <w:rPr>
      <w:i/>
      <w:iCs/>
      <w:color w:val="0f4761" w:themeColor="accent1" w:themeShade="BF"/>
    </w:rPr>
  </w:style>
  <w:style w:type="character" w:styleId="169">
    <w:name w:val="Intense Reference"/>
    <w:basedOn w:val="802"/>
    <w:uiPriority w:val="32"/>
    <w:qFormat/>
    <w:pPr>
      <w:pBdr/>
      <w:spacing/>
      <w:ind/>
    </w:pPr>
    <w:rPr>
      <w:b/>
      <w:bCs/>
      <w:smallCaps/>
      <w:color w:val="0f4761" w:themeColor="accent1" w:themeShade="BF"/>
      <w:spacing w:val="5"/>
    </w:rPr>
  </w:style>
  <w:style w:type="paragraph" w:styleId="170">
    <w:name w:val="No Spacing"/>
    <w:basedOn w:val="792"/>
    <w:uiPriority w:val="1"/>
    <w:qFormat/>
    <w:pPr>
      <w:pBdr/>
      <w:spacing w:after="0" w:line="240" w:lineRule="auto"/>
      <w:ind/>
    </w:pPr>
  </w:style>
  <w:style w:type="character" w:styleId="171">
    <w:name w:val="Subtle Emphasis"/>
    <w:basedOn w:val="802"/>
    <w:uiPriority w:val="19"/>
    <w:qFormat/>
    <w:pPr>
      <w:pBdr/>
      <w:spacing/>
      <w:ind/>
    </w:pPr>
    <w:rPr>
      <w:i/>
      <w:iCs/>
      <w:color w:val="404040" w:themeColor="text1" w:themeTint="BF"/>
    </w:rPr>
  </w:style>
  <w:style w:type="character" w:styleId="172">
    <w:name w:val="Emphasis"/>
    <w:basedOn w:val="802"/>
    <w:uiPriority w:val="20"/>
    <w:qFormat/>
    <w:pPr>
      <w:pBdr/>
      <w:spacing/>
      <w:ind/>
    </w:pPr>
    <w:rPr>
      <w:i/>
      <w:iCs/>
    </w:rPr>
  </w:style>
  <w:style w:type="character" w:styleId="174">
    <w:name w:val="Subtle Reference"/>
    <w:basedOn w:val="802"/>
    <w:uiPriority w:val="31"/>
    <w:qFormat/>
    <w:pPr>
      <w:pBdr/>
      <w:spacing/>
      <w:ind/>
    </w:pPr>
    <w:rPr>
      <w:smallCaps/>
      <w:color w:val="5a5a5a" w:themeColor="text1" w:themeTint="A5"/>
    </w:rPr>
  </w:style>
  <w:style w:type="character" w:styleId="175">
    <w:name w:val="Book Title"/>
    <w:basedOn w:val="802"/>
    <w:uiPriority w:val="33"/>
    <w:qFormat/>
    <w:pPr>
      <w:pBdr/>
      <w:spacing/>
      <w:ind/>
    </w:pPr>
    <w:rPr>
      <w:b/>
      <w:bCs/>
      <w:i/>
      <w:iCs/>
      <w:spacing w:val="5"/>
    </w:rPr>
  </w:style>
  <w:style w:type="paragraph" w:styleId="189">
    <w:name w:val="toc 1"/>
    <w:basedOn w:val="792"/>
    <w:next w:val="792"/>
    <w:uiPriority w:val="39"/>
    <w:unhideWhenUsed/>
    <w:pPr>
      <w:pBdr/>
      <w:spacing w:after="100"/>
      <w:ind/>
    </w:pPr>
  </w:style>
  <w:style w:type="paragraph" w:styleId="190">
    <w:name w:val="toc 2"/>
    <w:basedOn w:val="792"/>
    <w:next w:val="792"/>
    <w:uiPriority w:val="39"/>
    <w:unhideWhenUsed/>
    <w:pPr>
      <w:pBdr/>
      <w:spacing w:after="100"/>
      <w:ind w:left="220"/>
    </w:pPr>
  </w:style>
  <w:style w:type="paragraph" w:styleId="191">
    <w:name w:val="toc 3"/>
    <w:basedOn w:val="792"/>
    <w:next w:val="792"/>
    <w:uiPriority w:val="39"/>
    <w:unhideWhenUsed/>
    <w:pPr>
      <w:pBdr/>
      <w:spacing w:after="100"/>
      <w:ind w:left="440"/>
    </w:pPr>
  </w:style>
  <w:style w:type="paragraph" w:styleId="192">
    <w:name w:val="toc 4"/>
    <w:basedOn w:val="792"/>
    <w:next w:val="792"/>
    <w:uiPriority w:val="39"/>
    <w:unhideWhenUsed/>
    <w:pPr>
      <w:pBdr/>
      <w:spacing w:after="100"/>
      <w:ind w:left="660"/>
    </w:pPr>
  </w:style>
  <w:style w:type="paragraph" w:styleId="193">
    <w:name w:val="toc 5"/>
    <w:basedOn w:val="792"/>
    <w:next w:val="792"/>
    <w:uiPriority w:val="39"/>
    <w:unhideWhenUsed/>
    <w:pPr>
      <w:pBdr/>
      <w:spacing w:after="100"/>
      <w:ind w:left="880"/>
    </w:pPr>
  </w:style>
  <w:style w:type="paragraph" w:styleId="194">
    <w:name w:val="toc 6"/>
    <w:basedOn w:val="792"/>
    <w:next w:val="792"/>
    <w:uiPriority w:val="39"/>
    <w:unhideWhenUsed/>
    <w:pPr>
      <w:pBdr/>
      <w:spacing w:after="100"/>
      <w:ind w:left="1100"/>
    </w:pPr>
  </w:style>
  <w:style w:type="paragraph" w:styleId="195">
    <w:name w:val="toc 7"/>
    <w:basedOn w:val="792"/>
    <w:next w:val="792"/>
    <w:uiPriority w:val="39"/>
    <w:unhideWhenUsed/>
    <w:pPr>
      <w:pBdr/>
      <w:spacing w:after="100"/>
      <w:ind w:left="1320"/>
    </w:pPr>
  </w:style>
  <w:style w:type="paragraph" w:styleId="196">
    <w:name w:val="toc 8"/>
    <w:basedOn w:val="792"/>
    <w:next w:val="792"/>
    <w:uiPriority w:val="39"/>
    <w:unhideWhenUsed/>
    <w:pPr>
      <w:pBdr/>
      <w:spacing w:after="100"/>
      <w:ind w:left="1540"/>
    </w:pPr>
  </w:style>
  <w:style w:type="paragraph" w:styleId="197">
    <w:name w:val="toc 9"/>
    <w:basedOn w:val="792"/>
    <w:next w:val="792"/>
    <w:uiPriority w:val="39"/>
    <w:unhideWhenUsed/>
    <w:pPr>
      <w:pBdr/>
      <w:spacing w:after="100"/>
      <w:ind w:left="1760"/>
    </w:pPr>
  </w:style>
  <w:style w:type="paragraph" w:styleId="208">
    <w:name w:val="TOC Heading"/>
    <w:uiPriority w:val="39"/>
    <w:unhideWhenUsed/>
    <w:pPr>
      <w:pBdr/>
      <w:spacing/>
      <w:ind/>
    </w:pPr>
  </w:style>
  <w:style w:type="paragraph" w:styleId="209">
    <w:name w:val="table of figures"/>
    <w:basedOn w:val="792"/>
    <w:next w:val="792"/>
    <w:uiPriority w:val="99"/>
    <w:unhideWhenUsed/>
    <w:pPr>
      <w:pBdr/>
      <w:spacing w:after="0" w:afterAutospacing="0"/>
      <w:ind/>
    </w:pPr>
  </w:style>
  <w:style w:type="paragraph" w:styleId="792" w:default="1">
    <w:name w:val="Normal"/>
    <w:qFormat/>
    <w:pPr>
      <w:pBdr/>
      <w:spacing/>
      <w:ind/>
    </w:pPr>
    <w:rPr>
      <w:rFonts w:ascii="Times New Roman" w:hAnsi="Times New Roman" w:eastAsia="Times New Roman"/>
      <w:sz w:val="24"/>
      <w:szCs w:val="24"/>
    </w:rPr>
  </w:style>
  <w:style w:type="paragraph" w:styleId="793">
    <w:name w:val="Heading 1"/>
    <w:basedOn w:val="792"/>
    <w:next w:val="792"/>
    <w:link w:val="805"/>
    <w:qFormat/>
    <w:pPr>
      <w:keepNext w:val="true"/>
      <w:pBdr/>
      <w:spacing/>
      <w:ind/>
      <w:outlineLvl w:val="0"/>
    </w:pPr>
    <w:rPr>
      <w:rFonts w:ascii=".VnTimeH" w:hAnsi=".VnTimeH"/>
      <w:b/>
      <w:sz w:val="28"/>
      <w:szCs w:val="20"/>
    </w:rPr>
  </w:style>
  <w:style w:type="paragraph" w:styleId="794">
    <w:name w:val="Heading 2"/>
    <w:basedOn w:val="792"/>
    <w:next w:val="792"/>
    <w:link w:val="806"/>
    <w:qFormat/>
    <w:pPr>
      <w:keepNext w:val="true"/>
      <w:pBdr/>
      <w:spacing/>
      <w:ind/>
      <w:outlineLvl w:val="1"/>
    </w:pPr>
    <w:rPr>
      <w:rFonts w:ascii=".VnTime" w:hAnsi=".VnTime"/>
      <w:b/>
      <w:sz w:val="32"/>
      <w:szCs w:val="20"/>
    </w:rPr>
  </w:style>
  <w:style w:type="paragraph" w:styleId="795">
    <w:name w:val="Heading 3"/>
    <w:basedOn w:val="792"/>
    <w:next w:val="792"/>
    <w:link w:val="807"/>
    <w:qFormat/>
    <w:pPr>
      <w:keepNext w:val="true"/>
      <w:pBdr/>
      <w:spacing/>
      <w:ind/>
      <w:jc w:val="center"/>
      <w:outlineLvl w:val="2"/>
    </w:pPr>
    <w:rPr>
      <w:rFonts w:ascii=".VnTimeH" w:hAnsi=".VnTimeH"/>
      <w:b/>
      <w:sz w:val="28"/>
      <w:szCs w:val="20"/>
    </w:rPr>
  </w:style>
  <w:style w:type="paragraph" w:styleId="796">
    <w:name w:val="Heading 4"/>
    <w:basedOn w:val="792"/>
    <w:next w:val="792"/>
    <w:link w:val="808"/>
    <w:qFormat/>
    <w:pPr>
      <w:keepNext w:val="true"/>
      <w:pBdr/>
      <w:spacing/>
      <w:ind w:firstLine="720" w:left="5760"/>
      <w:outlineLvl w:val="3"/>
    </w:pPr>
    <w:rPr>
      <w:rFonts w:ascii=".VnTime" w:hAnsi=".VnTime"/>
      <w:b/>
      <w:sz w:val="28"/>
      <w:szCs w:val="20"/>
    </w:rPr>
  </w:style>
  <w:style w:type="paragraph" w:styleId="797">
    <w:name w:val="Heading 5"/>
    <w:basedOn w:val="792"/>
    <w:next w:val="792"/>
    <w:link w:val="809"/>
    <w:qFormat/>
    <w:pPr>
      <w:keepNext w:val="true"/>
      <w:pBdr/>
      <w:spacing/>
      <w:ind w:firstLine="720" w:left="4320"/>
      <w:outlineLvl w:val="4"/>
    </w:pPr>
    <w:rPr>
      <w:rFonts w:ascii=".VnTime" w:hAnsi=".VnTime"/>
      <w:b/>
      <w:sz w:val="28"/>
      <w:szCs w:val="20"/>
    </w:rPr>
  </w:style>
  <w:style w:type="paragraph" w:styleId="798">
    <w:name w:val="Heading 6"/>
    <w:basedOn w:val="792"/>
    <w:next w:val="792"/>
    <w:link w:val="810"/>
    <w:qFormat/>
    <w:pPr>
      <w:keepNext w:val="true"/>
      <w:pBdr/>
      <w:spacing/>
      <w:ind w:firstLine="720" w:left="3600"/>
      <w:outlineLvl w:val="5"/>
    </w:pPr>
    <w:rPr>
      <w:rFonts w:ascii=".VnTime" w:hAnsi=".VnTime"/>
      <w:b/>
      <w:sz w:val="28"/>
      <w:szCs w:val="20"/>
    </w:rPr>
  </w:style>
  <w:style w:type="paragraph" w:styleId="799">
    <w:name w:val="Heading 7"/>
    <w:basedOn w:val="792"/>
    <w:next w:val="792"/>
    <w:link w:val="811"/>
    <w:qFormat/>
    <w:pPr>
      <w:keepNext w:val="true"/>
      <w:pBdr/>
      <w:spacing/>
      <w:ind w:firstLine="720" w:left="5040"/>
      <w:jc w:val="both"/>
      <w:outlineLvl w:val="6"/>
    </w:pPr>
    <w:rPr>
      <w:rFonts w:ascii=".VnTimeH" w:hAnsi=".VnTimeH"/>
      <w:b/>
      <w:i/>
      <w:color w:val="000000"/>
      <w:sz w:val="28"/>
      <w:szCs w:val="20"/>
    </w:rPr>
  </w:style>
  <w:style w:type="paragraph" w:styleId="800">
    <w:name w:val="Heading 8"/>
    <w:basedOn w:val="792"/>
    <w:next w:val="792"/>
    <w:link w:val="812"/>
    <w:qFormat/>
    <w:pPr>
      <w:keepNext w:val="true"/>
      <w:pBdr/>
      <w:spacing/>
      <w:ind w:firstLine="720" w:left="720"/>
      <w:outlineLvl w:val="7"/>
    </w:pPr>
    <w:rPr>
      <w:rFonts w:ascii=".VnTimeH" w:hAnsi=".VnTimeH"/>
      <w:b/>
      <w:sz w:val="34"/>
      <w:szCs w:val="20"/>
    </w:rPr>
  </w:style>
  <w:style w:type="paragraph" w:styleId="801">
    <w:name w:val="Heading 9"/>
    <w:basedOn w:val="792"/>
    <w:next w:val="792"/>
    <w:link w:val="853"/>
    <w:qFormat/>
    <w:pPr>
      <w:keepNext w:val="true"/>
      <w:pBdr/>
      <w:spacing/>
      <w:ind w:left="-108"/>
      <w:jc w:val="center"/>
      <w:outlineLvl w:val="8"/>
    </w:pPr>
    <w:rPr>
      <w:rFonts w:ascii=".VnTime" w:hAnsi=".VnTime"/>
      <w:b/>
      <w:bCs/>
      <w:sz w:val="28"/>
      <w:szCs w:val="28"/>
    </w:rPr>
  </w:style>
  <w:style w:type="character" w:styleId="802" w:default="1">
    <w:name w:val="Default Paragraph Font"/>
    <w:uiPriority w:val="1"/>
    <w:semiHidden/>
    <w:unhideWhenUsed/>
    <w:pPr>
      <w:pBdr/>
      <w:spacing/>
      <w:ind/>
    </w:pPr>
  </w:style>
  <w:style w:type="table" w:styleId="8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04" w:default="1">
    <w:name w:val="No List"/>
    <w:uiPriority w:val="99"/>
    <w:semiHidden/>
    <w:unhideWhenUsed/>
    <w:pPr>
      <w:pBdr/>
      <w:spacing/>
      <w:ind/>
    </w:pPr>
  </w:style>
  <w:style w:type="character" w:styleId="805" w:customStyle="1">
    <w:name w:val="Heading 1 Char"/>
    <w:link w:val="793"/>
    <w:pPr>
      <w:pBdr/>
      <w:spacing/>
      <w:ind/>
    </w:pPr>
    <w:rPr>
      <w:rFonts w:ascii=".VnTimeH" w:hAnsi=".VnTimeH" w:eastAsia="Times New Roman" w:cs="Times New Roman"/>
      <w:b/>
      <w:sz w:val="28"/>
      <w:szCs w:val="20"/>
      <w:lang w:val="en-US"/>
    </w:rPr>
  </w:style>
  <w:style w:type="character" w:styleId="806" w:customStyle="1">
    <w:name w:val="Heading 2 Char"/>
    <w:link w:val="794"/>
    <w:pPr>
      <w:pBdr/>
      <w:spacing/>
      <w:ind/>
    </w:pPr>
    <w:rPr>
      <w:rFonts w:ascii=".VnTime" w:hAnsi=".VnTime" w:eastAsia="Times New Roman" w:cs="Times New Roman"/>
      <w:b/>
      <w:sz w:val="32"/>
      <w:szCs w:val="20"/>
      <w:lang w:val="en-US"/>
    </w:rPr>
  </w:style>
  <w:style w:type="character" w:styleId="807" w:customStyle="1">
    <w:name w:val="Heading 3 Char"/>
    <w:link w:val="795"/>
    <w:pPr>
      <w:pBdr/>
      <w:spacing/>
      <w:ind/>
    </w:pPr>
    <w:rPr>
      <w:rFonts w:ascii=".VnTimeH" w:hAnsi=".VnTimeH" w:eastAsia="Times New Roman" w:cs="Times New Roman"/>
      <w:b/>
      <w:sz w:val="28"/>
      <w:szCs w:val="20"/>
      <w:lang w:val="en-US"/>
    </w:rPr>
  </w:style>
  <w:style w:type="character" w:styleId="808" w:customStyle="1">
    <w:name w:val="Heading 4 Char"/>
    <w:link w:val="796"/>
    <w:pPr>
      <w:pBdr/>
      <w:spacing/>
      <w:ind/>
    </w:pPr>
    <w:rPr>
      <w:rFonts w:ascii=".VnTime" w:hAnsi=".VnTime" w:eastAsia="Times New Roman" w:cs="Times New Roman"/>
      <w:b/>
      <w:sz w:val="28"/>
      <w:szCs w:val="20"/>
      <w:lang w:val="en-US"/>
    </w:rPr>
  </w:style>
  <w:style w:type="character" w:styleId="809" w:customStyle="1">
    <w:name w:val="Heading 5 Char"/>
    <w:link w:val="797"/>
    <w:pPr>
      <w:pBdr/>
      <w:spacing/>
      <w:ind/>
    </w:pPr>
    <w:rPr>
      <w:rFonts w:ascii=".VnTime" w:hAnsi=".VnTime" w:eastAsia="Times New Roman" w:cs="Times New Roman"/>
      <w:b/>
      <w:sz w:val="28"/>
      <w:szCs w:val="20"/>
      <w:lang w:val="en-US"/>
    </w:rPr>
  </w:style>
  <w:style w:type="character" w:styleId="810" w:customStyle="1">
    <w:name w:val="Heading 6 Char"/>
    <w:link w:val="798"/>
    <w:pPr>
      <w:pBdr/>
      <w:spacing/>
      <w:ind/>
    </w:pPr>
    <w:rPr>
      <w:rFonts w:ascii=".VnTime" w:hAnsi=".VnTime" w:eastAsia="Times New Roman" w:cs="Times New Roman"/>
      <w:b/>
      <w:sz w:val="28"/>
      <w:szCs w:val="20"/>
      <w:lang w:val="en-US"/>
    </w:rPr>
  </w:style>
  <w:style w:type="character" w:styleId="811" w:customStyle="1">
    <w:name w:val="Heading 7 Char"/>
    <w:link w:val="799"/>
    <w:pPr>
      <w:pBdr/>
      <w:spacing/>
      <w:ind/>
    </w:pPr>
    <w:rPr>
      <w:rFonts w:ascii=".VnTimeH" w:hAnsi=".VnTimeH" w:eastAsia="Times New Roman" w:cs="Times New Roman"/>
      <w:b/>
      <w:i/>
      <w:color w:val="000000"/>
      <w:sz w:val="28"/>
      <w:szCs w:val="20"/>
      <w:lang w:val="en-US"/>
    </w:rPr>
  </w:style>
  <w:style w:type="character" w:styleId="812" w:customStyle="1">
    <w:name w:val="Heading 8 Char"/>
    <w:link w:val="800"/>
    <w:pPr>
      <w:pBdr/>
      <w:spacing/>
      <w:ind/>
    </w:pPr>
    <w:rPr>
      <w:rFonts w:ascii=".VnTimeH" w:hAnsi=".VnTimeH" w:eastAsia="Times New Roman" w:cs="Times New Roman"/>
      <w:b/>
      <w:sz w:val="34"/>
      <w:szCs w:val="20"/>
      <w:lang w:val="en-US"/>
    </w:rPr>
  </w:style>
  <w:style w:type="paragraph" w:styleId="813">
    <w:name w:val="Header"/>
    <w:basedOn w:val="792"/>
    <w:link w:val="814"/>
    <w:uiPriority w:val="99"/>
    <w:pPr>
      <w:pBdr/>
      <w:tabs>
        <w:tab w:val="center" w:leader="none" w:pos="4320"/>
        <w:tab w:val="right" w:leader="none" w:pos="8640"/>
      </w:tabs>
      <w:spacing/>
      <w:ind/>
    </w:pPr>
  </w:style>
  <w:style w:type="character" w:styleId="814" w:customStyle="1">
    <w:name w:val="Header Char"/>
    <w:link w:val="813"/>
    <w:uiPriority w:val="99"/>
    <w:pPr>
      <w:pBdr/>
      <w:spacing/>
      <w:ind/>
    </w:pPr>
    <w:rPr>
      <w:rFonts w:ascii="Times New Roman" w:hAnsi="Times New Roman" w:eastAsia="Times New Roman" w:cs="Times New Roman"/>
      <w:sz w:val="24"/>
      <w:szCs w:val="24"/>
      <w:lang w:val="en-US"/>
    </w:rPr>
  </w:style>
  <w:style w:type="paragraph" w:styleId="815">
    <w:name w:val="Footer"/>
    <w:basedOn w:val="792"/>
    <w:link w:val="816"/>
    <w:uiPriority w:val="99"/>
    <w:pPr>
      <w:pBdr/>
      <w:tabs>
        <w:tab w:val="center" w:leader="none" w:pos="4320"/>
        <w:tab w:val="right" w:leader="none" w:pos="8640"/>
      </w:tabs>
      <w:spacing/>
      <w:ind/>
    </w:pPr>
  </w:style>
  <w:style w:type="character" w:styleId="816" w:customStyle="1">
    <w:name w:val="Footer Char"/>
    <w:link w:val="815"/>
    <w:uiPriority w:val="99"/>
    <w:pPr>
      <w:pBdr/>
      <w:spacing/>
      <w:ind/>
    </w:pPr>
    <w:rPr>
      <w:rFonts w:ascii="Times New Roman" w:hAnsi="Times New Roman" w:eastAsia="Times New Roman" w:cs="Times New Roman"/>
      <w:sz w:val="24"/>
      <w:szCs w:val="24"/>
      <w:lang w:val="en-US"/>
    </w:rPr>
  </w:style>
  <w:style w:type="character" w:styleId="817">
    <w:name w:val="page number"/>
    <w:basedOn w:val="802"/>
    <w:pPr>
      <w:pBdr/>
      <w:spacing/>
      <w:ind/>
    </w:pPr>
  </w:style>
  <w:style w:type="paragraph" w:styleId="818">
    <w:name w:val="Balloon Text"/>
    <w:basedOn w:val="792"/>
    <w:link w:val="819"/>
    <w:unhideWhenUsed/>
    <w:pPr>
      <w:pBdr/>
      <w:spacing/>
      <w:ind/>
    </w:pPr>
    <w:rPr>
      <w:rFonts w:ascii="Tahoma" w:hAnsi="Tahoma"/>
      <w:sz w:val="16"/>
      <w:szCs w:val="16"/>
    </w:rPr>
  </w:style>
  <w:style w:type="character" w:styleId="819" w:customStyle="1">
    <w:name w:val="Balloon Text Char"/>
    <w:link w:val="818"/>
    <w:pPr>
      <w:pBdr/>
      <w:spacing/>
      <w:ind/>
    </w:pPr>
    <w:rPr>
      <w:rFonts w:ascii="Tahoma" w:hAnsi="Tahoma" w:eastAsia="Times New Roman" w:cs="Tahoma"/>
      <w:sz w:val="16"/>
      <w:szCs w:val="16"/>
      <w:lang w:val="en-US"/>
    </w:rPr>
  </w:style>
  <w:style w:type="paragraph" w:styleId="820">
    <w:name w:val="Body Text Indent 2"/>
    <w:basedOn w:val="792"/>
    <w:link w:val="821"/>
    <w:pPr>
      <w:pBdr/>
      <w:spacing/>
      <w:ind w:firstLine="720"/>
      <w:jc w:val="both"/>
    </w:pPr>
    <w:rPr>
      <w:rFonts w:ascii=".VnTime" w:hAnsi=".VnTime"/>
      <w:sz w:val="28"/>
      <w:szCs w:val="28"/>
    </w:rPr>
  </w:style>
  <w:style w:type="character" w:styleId="821" w:customStyle="1">
    <w:name w:val="Body Text Indent 2 Char"/>
    <w:link w:val="820"/>
    <w:pPr>
      <w:pBdr/>
      <w:spacing/>
      <w:ind/>
    </w:pPr>
    <w:rPr>
      <w:rFonts w:ascii=".VnTime" w:hAnsi=".VnTime" w:eastAsia="Times New Roman" w:cs="Times New Roman"/>
      <w:sz w:val="28"/>
      <w:szCs w:val="28"/>
      <w:lang w:val="en-US"/>
    </w:rPr>
  </w:style>
  <w:style w:type="table" w:styleId="822">
    <w:name w:val="Table Grid"/>
    <w:basedOn w:val="803"/>
    <w:uiPriority w:val="59"/>
    <w:pPr>
      <w:pBdr/>
      <w:spacing/>
      <w:ind/>
    </w:pPr>
    <w:rPr>
      <w:rFonts w:ascii="Times New Roman" w:hAnsi="Times New Roman" w:eastAsia="Times New Roman"/>
      <w:lang w:eastAsia="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3">
    <w:name w:val="Body Text"/>
    <w:basedOn w:val="792"/>
    <w:link w:val="824"/>
    <w:pPr>
      <w:pBdr/>
      <w:spacing/>
      <w:ind/>
      <w:jc w:val="both"/>
    </w:pPr>
    <w:rPr>
      <w:rFonts w:ascii=".VnTime" w:hAnsi=".VnTime"/>
      <w:sz w:val="28"/>
    </w:rPr>
  </w:style>
  <w:style w:type="character" w:styleId="824" w:customStyle="1">
    <w:name w:val="Body Text Char"/>
    <w:link w:val="823"/>
    <w:pPr>
      <w:pBdr/>
      <w:spacing/>
      <w:ind/>
    </w:pPr>
    <w:rPr>
      <w:rFonts w:ascii=".VnTime" w:hAnsi=".VnTime" w:eastAsia="Times New Roman" w:cs="Times New Roman"/>
      <w:sz w:val="28"/>
      <w:szCs w:val="24"/>
      <w:lang w:val="en-US"/>
    </w:rPr>
  </w:style>
  <w:style w:type="paragraph" w:styleId="825" w:customStyle="1">
    <w:name w:val="B1"/>
    <w:basedOn w:val="792"/>
    <w:link w:val="826"/>
    <w:pPr>
      <w:pBdr/>
      <w:spacing w:before="120" w:line="312" w:lineRule="auto"/>
      <w:ind w:hanging="360"/>
      <w:jc w:val="both"/>
    </w:pPr>
    <w:rPr>
      <w:spacing w:val="-4"/>
      <w:sz w:val="26"/>
      <w:szCs w:val="26"/>
      <w:lang w:val="fr-FR"/>
    </w:rPr>
  </w:style>
  <w:style w:type="character" w:styleId="826" w:customStyle="1">
    <w:name w:val="B1 Char"/>
    <w:link w:val="825"/>
    <w:pPr>
      <w:pBdr/>
      <w:spacing/>
      <w:ind/>
    </w:pPr>
    <w:rPr>
      <w:rFonts w:ascii="Times New Roman" w:hAnsi="Times New Roman" w:eastAsia="Times New Roman" w:cs="Times New Roman"/>
      <w:spacing w:val="-4"/>
      <w:sz w:val="26"/>
      <w:szCs w:val="26"/>
      <w:lang w:val="fr-FR"/>
    </w:rPr>
  </w:style>
  <w:style w:type="paragraph" w:styleId="827" w:customStyle="1">
    <w:name w:val="B2 Char"/>
    <w:basedOn w:val="792"/>
    <w:link w:val="828"/>
    <w:pPr>
      <w:pBdr/>
      <w:spacing w:after="120" w:before="120" w:line="288" w:lineRule="auto"/>
      <w:ind w:firstLine="822"/>
      <w:jc w:val="both"/>
    </w:pPr>
    <w:rPr>
      <w:spacing w:val="-8"/>
      <w:sz w:val="26"/>
      <w:szCs w:val="26"/>
    </w:rPr>
  </w:style>
  <w:style w:type="character" w:styleId="828" w:customStyle="1">
    <w:name w:val="B2 Char Char"/>
    <w:link w:val="827"/>
    <w:pPr>
      <w:pBdr/>
      <w:spacing/>
      <w:ind/>
    </w:pPr>
    <w:rPr>
      <w:rFonts w:ascii="Times New Roman" w:hAnsi="Times New Roman" w:eastAsia="Times New Roman" w:cs="Times New Roman"/>
      <w:spacing w:val="-8"/>
      <w:sz w:val="26"/>
      <w:szCs w:val="26"/>
      <w:lang w:val="en-US"/>
    </w:rPr>
  </w:style>
  <w:style w:type="paragraph" w:styleId="829" w:customStyle="1">
    <w:name w:val="Char"/>
    <w:basedOn w:val="792"/>
    <w:pPr>
      <w:pBdr/>
      <w:spacing w:after="160" w:line="240" w:lineRule="exact"/>
      <w:ind/>
    </w:pPr>
    <w:rPr>
      <w:rFonts w:ascii="Tahoma" w:hAnsi="Tahoma" w:eastAsia="PMingLiU"/>
      <w:sz w:val="20"/>
      <w:szCs w:val="20"/>
    </w:rPr>
  </w:style>
  <w:style w:type="paragraph" w:styleId="830">
    <w:name w:val="Body Text 2"/>
    <w:basedOn w:val="792"/>
    <w:link w:val="831"/>
    <w:pPr>
      <w:pBdr/>
      <w:spacing w:after="120" w:line="480" w:lineRule="auto"/>
      <w:ind/>
    </w:pPr>
    <w:rPr>
      <w:rFonts w:ascii=".VnTime" w:hAnsi=".VnTime"/>
    </w:rPr>
  </w:style>
  <w:style w:type="character" w:styleId="831" w:customStyle="1">
    <w:name w:val="Body Text 2 Char"/>
    <w:link w:val="830"/>
    <w:pPr>
      <w:pBdr/>
      <w:spacing/>
      <w:ind/>
    </w:pPr>
    <w:rPr>
      <w:rFonts w:ascii=".VnTime" w:hAnsi=".VnTime" w:eastAsia="Times New Roman" w:cs="Times New Roman"/>
      <w:sz w:val="24"/>
      <w:szCs w:val="24"/>
      <w:lang w:val="en-US"/>
    </w:rPr>
  </w:style>
  <w:style w:type="paragraph" w:styleId="832">
    <w:name w:val="Body Text 3"/>
    <w:basedOn w:val="792"/>
    <w:link w:val="833"/>
    <w:pPr>
      <w:pBdr/>
      <w:spacing w:after="120"/>
      <w:ind/>
    </w:pPr>
    <w:rPr>
      <w:rFonts w:ascii=".VnTime" w:hAnsi=".VnTime"/>
      <w:sz w:val="16"/>
      <w:szCs w:val="16"/>
    </w:rPr>
  </w:style>
  <w:style w:type="character" w:styleId="833" w:customStyle="1">
    <w:name w:val="Body Text 3 Char"/>
    <w:link w:val="832"/>
    <w:pPr>
      <w:pBdr/>
      <w:spacing/>
      <w:ind/>
    </w:pPr>
    <w:rPr>
      <w:rFonts w:ascii=".VnTime" w:hAnsi=".VnTime" w:eastAsia="Times New Roman" w:cs="Times New Roman"/>
      <w:sz w:val="16"/>
      <w:szCs w:val="16"/>
      <w:lang w:val="en-US"/>
    </w:rPr>
  </w:style>
  <w:style w:type="paragraph" w:styleId="834" w:customStyle="1">
    <w:name w:val="Char1"/>
    <w:basedOn w:val="792"/>
    <w:pPr>
      <w:pBdr/>
      <w:spacing w:after="160" w:line="240" w:lineRule="exact"/>
      <w:ind/>
    </w:pPr>
    <w:rPr>
      <w:rFonts w:ascii="Tahoma" w:hAnsi="Tahoma" w:cs="Tahoma"/>
      <w:sz w:val="20"/>
      <w:szCs w:val="20"/>
    </w:rPr>
  </w:style>
  <w:style w:type="paragraph" w:styleId="835" w:customStyle="1">
    <w:name w:val="Char Char Char Char Char Char1 Char Char Char Char"/>
    <w:basedOn w:val="792"/>
    <w:pPr>
      <w:numPr>
        <w:ilvl w:val="8"/>
      </w:numPr>
      <w:pBdr/>
      <w:tabs>
        <w:tab w:val="num" w:leader="none" w:pos="6418"/>
      </w:tabs>
      <w:spacing w:after="160" w:line="240" w:lineRule="exact"/>
      <w:ind w:hanging="180" w:left="6418"/>
    </w:pPr>
    <w:rPr>
      <w:rFonts w:ascii="Verdana" w:hAnsi="Verdana"/>
      <w:sz w:val="20"/>
      <w:szCs w:val="20"/>
      <w:lang w:val="en-GB"/>
    </w:rPr>
  </w:style>
  <w:style w:type="paragraph" w:styleId="836" w:customStyle="1">
    <w:name w:val="Char Char"/>
    <w:basedOn w:val="792"/>
    <w:pPr>
      <w:pBdr/>
      <w:spacing w:after="160" w:line="240" w:lineRule="exact"/>
      <w:ind/>
    </w:pPr>
    <w:rPr>
      <w:rFonts w:ascii="Verdana" w:hAnsi="Verdana" w:cs="Verdana"/>
      <w:sz w:val="20"/>
      <w:szCs w:val="20"/>
    </w:rPr>
  </w:style>
  <w:style w:type="paragraph" w:styleId="837">
    <w:name w:val="Body Text Indent"/>
    <w:basedOn w:val="792"/>
    <w:link w:val="838"/>
    <w:pPr>
      <w:pBdr/>
      <w:spacing w:after="120"/>
      <w:ind w:left="360"/>
    </w:pPr>
    <w:rPr>
      <w:rFonts w:ascii=".VnTime" w:hAnsi=".VnTime"/>
    </w:rPr>
  </w:style>
  <w:style w:type="character" w:styleId="838" w:customStyle="1">
    <w:name w:val="Body Text Indent Char"/>
    <w:link w:val="837"/>
    <w:pPr>
      <w:pBdr/>
      <w:spacing/>
      <w:ind/>
    </w:pPr>
    <w:rPr>
      <w:rFonts w:ascii=".VnTime" w:hAnsi=".VnTime" w:eastAsia="Times New Roman" w:cs="Times New Roman"/>
      <w:sz w:val="24"/>
      <w:szCs w:val="24"/>
      <w:lang w:val="en-US"/>
    </w:rPr>
  </w:style>
  <w:style w:type="paragraph" w:styleId="839" w:customStyle="1">
    <w:name w:val="Char Char Char Char Char Char Char Char Char Char Char Char1 Char Char Char"/>
    <w:basedOn w:val="792"/>
    <w:pPr>
      <w:pBdr/>
      <w:spacing w:after="160" w:line="240" w:lineRule="exact"/>
      <w:ind/>
    </w:pPr>
    <w:rPr>
      <w:rFonts w:ascii="Tahoma" w:hAnsi="Tahoma" w:eastAsia="PMingLiU"/>
      <w:sz w:val="20"/>
      <w:szCs w:val="20"/>
    </w:rPr>
  </w:style>
  <w:style w:type="paragraph" w:styleId="840" w:customStyle="1">
    <w:name w:val="yiv931476154msonormal"/>
    <w:basedOn w:val="792"/>
    <w:pPr>
      <w:pBdr/>
      <w:spacing w:after="100" w:afterAutospacing="1" w:before="100" w:beforeAutospacing="1"/>
      <w:ind/>
    </w:pPr>
  </w:style>
  <w:style w:type="paragraph" w:styleId="841" w:customStyle="1">
    <w:name w:val="xl41"/>
    <w:basedOn w:val="792"/>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sz w:val="28"/>
      <w:szCs w:val="28"/>
    </w:rPr>
  </w:style>
  <w:style w:type="paragraph" w:styleId="842" w:customStyle="1">
    <w:name w:val="Char Char Char Char Char Char Char Char Char Char"/>
    <w:basedOn w:val="792"/>
    <w:pPr>
      <w:pageBreakBefore w:val="true"/>
      <w:pBdr/>
      <w:spacing w:after="100" w:afterAutospacing="1" w:before="100" w:beforeAutospacing="1"/>
      <w:ind/>
    </w:pPr>
    <w:rPr>
      <w:rFonts w:ascii="Tahoma" w:hAnsi="Tahoma" w:cs="Tahoma"/>
      <w:sz w:val="20"/>
      <w:szCs w:val="20"/>
    </w:rPr>
  </w:style>
  <w:style w:type="paragraph" w:styleId="843" w:customStyle="1">
    <w:name w:val="Char Char Char"/>
    <w:basedOn w:val="792"/>
    <w:pPr>
      <w:pBdr/>
      <w:spacing w:after="160" w:line="240" w:lineRule="exact"/>
      <w:ind/>
    </w:pPr>
    <w:rPr>
      <w:rFonts w:ascii="Tahoma" w:hAnsi="Tahoma" w:eastAsia="PMingLiU"/>
      <w:sz w:val="20"/>
      <w:szCs w:val="20"/>
    </w:rPr>
  </w:style>
  <w:style w:type="paragraph" w:styleId="844">
    <w:name w:val="Body Text Indent 3"/>
    <w:basedOn w:val="792"/>
    <w:link w:val="845"/>
    <w:pPr>
      <w:pBdr/>
      <w:spacing w:after="120"/>
      <w:ind w:left="360"/>
    </w:pPr>
    <w:rPr>
      <w:sz w:val="16"/>
      <w:szCs w:val="16"/>
    </w:rPr>
  </w:style>
  <w:style w:type="character" w:styleId="845" w:customStyle="1">
    <w:name w:val="Body Text Indent 3 Char"/>
    <w:link w:val="844"/>
    <w:pPr>
      <w:pBdr/>
      <w:spacing/>
      <w:ind/>
    </w:pPr>
    <w:rPr>
      <w:rFonts w:ascii="Times New Roman" w:hAnsi="Times New Roman" w:eastAsia="Times New Roman" w:cs="Times New Roman"/>
      <w:sz w:val="16"/>
      <w:szCs w:val="16"/>
      <w:lang w:val="en-US"/>
    </w:rPr>
  </w:style>
  <w:style w:type="paragraph" w:styleId="846">
    <w:name w:val="List Paragraph"/>
    <w:basedOn w:val="792"/>
    <w:link w:val="892"/>
    <w:uiPriority w:val="34"/>
    <w:qFormat/>
    <w:pPr>
      <w:pBdr/>
      <w:spacing w:line="312" w:lineRule="auto"/>
      <w:ind w:left="720"/>
      <w:contextualSpacing w:val="true"/>
    </w:pPr>
    <w:rPr>
      <w:rFonts w:eastAsia="Calibri"/>
      <w:sz w:val="28"/>
      <w:szCs w:val="22"/>
    </w:rPr>
  </w:style>
  <w:style w:type="paragraph" w:styleId="847" w:customStyle="1">
    <w:name w:val="Thuong"/>
    <w:basedOn w:val="792"/>
    <w:link w:val="848"/>
    <w:pPr>
      <w:pBdr/>
      <w:spacing w:before="120" w:line="312" w:lineRule="auto"/>
      <w:ind w:firstLine="540"/>
      <w:jc w:val="both"/>
    </w:pPr>
    <w:rPr>
      <w:sz w:val="26"/>
      <w:szCs w:val="28"/>
      <w:lang w:val="en-GB"/>
    </w:rPr>
  </w:style>
  <w:style w:type="character" w:styleId="848" w:customStyle="1">
    <w:name w:val="Thuong Char"/>
    <w:link w:val="847"/>
    <w:pPr>
      <w:pBdr/>
      <w:spacing/>
      <w:ind/>
    </w:pPr>
    <w:rPr>
      <w:rFonts w:ascii="Times New Roman" w:hAnsi="Times New Roman" w:eastAsia="Times New Roman" w:cs="Times New Roman"/>
      <w:sz w:val="26"/>
      <w:szCs w:val="28"/>
      <w:lang w:val="en-GB"/>
    </w:rPr>
  </w:style>
  <w:style w:type="paragraph" w:styleId="849" w:customStyle="1">
    <w:name w:val="xl45"/>
    <w:basedOn w:val="792"/>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b/>
      <w:bCs/>
      <w:sz w:val="28"/>
      <w:szCs w:val="28"/>
    </w:rPr>
  </w:style>
  <w:style w:type="paragraph" w:styleId="850" w:customStyle="1">
    <w:name w:val="Char Char Char Char"/>
    <w:basedOn w:val="792"/>
    <w:pPr>
      <w:pBdr/>
      <w:spacing w:after="160" w:line="240" w:lineRule="exact"/>
      <w:ind/>
    </w:pPr>
    <w:rPr>
      <w:rFonts w:ascii="Tahoma" w:hAnsi="Tahoma" w:cs="Tahoma"/>
      <w:sz w:val="20"/>
      <w:szCs w:val="20"/>
    </w:rPr>
  </w:style>
  <w:style w:type="paragraph" w:styleId="851" w:customStyle="1">
    <w:name w:val="Char Char Char Char Char Char"/>
    <w:basedOn w:val="792"/>
    <w:pPr>
      <w:pBdr/>
      <w:spacing w:after="160" w:line="240" w:lineRule="exact"/>
      <w:ind/>
    </w:pPr>
    <w:rPr>
      <w:rFonts w:ascii="Tahoma" w:hAnsi="Tahoma" w:eastAsia="PMingLiU"/>
      <w:sz w:val="20"/>
      <w:szCs w:val="20"/>
    </w:rPr>
  </w:style>
  <w:style w:type="paragraph" w:styleId="852">
    <w:name w:val="Normal (Web)"/>
    <w:basedOn w:val="792"/>
    <w:unhideWhenUsed/>
    <w:pPr>
      <w:pBdr/>
      <w:spacing/>
      <w:ind/>
    </w:pPr>
  </w:style>
  <w:style w:type="character" w:styleId="853" w:customStyle="1">
    <w:name w:val="Heading 9 Char"/>
    <w:link w:val="801"/>
    <w:pPr>
      <w:pBdr/>
      <w:spacing/>
      <w:ind/>
    </w:pPr>
    <w:rPr>
      <w:rFonts w:ascii=".VnTime" w:hAnsi=".VnTime" w:eastAsia="Times New Roman" w:cs="Times New Roman"/>
      <w:b/>
      <w:bCs/>
      <w:sz w:val="28"/>
      <w:szCs w:val="28"/>
      <w:lang w:val="en-US"/>
    </w:rPr>
  </w:style>
  <w:style w:type="paragraph" w:styleId="854">
    <w:name w:val="Block Text"/>
    <w:basedOn w:val="792"/>
    <w:pPr>
      <w:pBdr/>
      <w:spacing/>
      <w:ind w:right="113" w:firstLine="720" w:left="113"/>
      <w:jc w:val="both"/>
    </w:pPr>
    <w:rPr>
      <w:rFonts w:ascii=".VnTime" w:hAnsi=".VnTime"/>
      <w:sz w:val="28"/>
    </w:rPr>
  </w:style>
  <w:style w:type="character" w:styleId="855" w:customStyle="1">
    <w:name w:val="Body Text 3 Char Char"/>
    <w:pPr>
      <w:pBdr/>
      <w:spacing/>
      <w:ind/>
    </w:pPr>
    <w:rPr>
      <w:rFonts w:ascii=".VnTime" w:hAnsi=".VnTime"/>
      <w:sz w:val="24"/>
      <w:szCs w:val="24"/>
      <w:lang w:val="en-US" w:eastAsia="en-US" w:bidi="ar-SA"/>
    </w:rPr>
  </w:style>
  <w:style w:type="paragraph" w:styleId="856">
    <w:name w:val="Title"/>
    <w:basedOn w:val="792"/>
    <w:link w:val="857"/>
    <w:qFormat/>
    <w:pPr>
      <w:pBdr/>
      <w:spacing/>
      <w:ind/>
      <w:jc w:val="center"/>
    </w:pPr>
    <w:rPr>
      <w:rFonts w:ascii=".VnTimeH" w:hAnsi=".VnTimeH"/>
      <w:b/>
      <w:sz w:val="42"/>
      <w:szCs w:val="20"/>
    </w:rPr>
  </w:style>
  <w:style w:type="character" w:styleId="857" w:customStyle="1">
    <w:name w:val="Title Char"/>
    <w:link w:val="856"/>
    <w:pPr>
      <w:pBdr/>
      <w:spacing/>
      <w:ind/>
    </w:pPr>
    <w:rPr>
      <w:rFonts w:ascii=".VnTimeH" w:hAnsi=".VnTimeH" w:eastAsia="Times New Roman" w:cs="Times New Roman"/>
      <w:b/>
      <w:sz w:val="42"/>
      <w:szCs w:val="20"/>
      <w:lang w:val="en-US"/>
    </w:rPr>
  </w:style>
  <w:style w:type="character" w:styleId="858">
    <w:name w:val="Strong"/>
    <w:qFormat/>
    <w:pPr>
      <w:pBdr/>
      <w:spacing/>
      <w:ind/>
    </w:pPr>
    <w:rPr>
      <w:b/>
      <w:bCs/>
    </w:rPr>
  </w:style>
  <w:style w:type="paragraph" w:styleId="859" w:customStyle="1">
    <w:name w:val="yiv592693479msonormal"/>
    <w:basedOn w:val="792"/>
    <w:pPr>
      <w:pBdr/>
      <w:spacing w:after="100" w:afterAutospacing="1" w:before="100" w:beforeAutospacing="1"/>
      <w:ind/>
    </w:pPr>
  </w:style>
  <w:style w:type="paragraph" w:styleId="860">
    <w:name w:val="List 2"/>
    <w:basedOn w:val="792"/>
    <w:pPr>
      <w:pBdr/>
      <w:spacing/>
      <w:ind w:hanging="360" w:left="720"/>
    </w:pPr>
    <w:rPr>
      <w:rFonts w:ascii="VNI-Times" w:hAnsi="VNI-Times"/>
      <w:sz w:val="26"/>
      <w:szCs w:val="20"/>
    </w:rPr>
  </w:style>
  <w:style w:type="paragraph" w:styleId="861" w:customStyle="1">
    <w:name w:val="headerfontcon"/>
    <w:basedOn w:val="792"/>
    <w:pPr>
      <w:pBdr/>
      <w:spacing w:after="100" w:afterAutospacing="1" w:before="100" w:beforeAutospacing="1"/>
      <w:ind/>
    </w:pPr>
    <w:rPr>
      <w:lang w:val="en-AU" w:eastAsia="en-AU"/>
    </w:rPr>
  </w:style>
  <w:style w:type="character" w:styleId="862" w:customStyle="1">
    <w:name w:val="st"/>
    <w:basedOn w:val="802"/>
    <w:pPr>
      <w:pBdr/>
      <w:spacing/>
      <w:ind/>
    </w:pPr>
  </w:style>
  <w:style w:type="character" w:styleId="863">
    <w:name w:val="Hyperlink"/>
    <w:uiPriority w:val="99"/>
    <w:unhideWhenUsed/>
    <w:pPr>
      <w:pBdr/>
      <w:spacing/>
      <w:ind/>
    </w:pPr>
    <w:rPr>
      <w:color w:val="0000ff"/>
      <w:u w:val="single"/>
    </w:rPr>
  </w:style>
  <w:style w:type="character" w:styleId="864">
    <w:name w:val="annotation reference"/>
    <w:uiPriority w:val="99"/>
    <w:semiHidden/>
    <w:unhideWhenUsed/>
    <w:pPr>
      <w:pBdr/>
      <w:spacing/>
      <w:ind/>
    </w:pPr>
    <w:rPr>
      <w:sz w:val="16"/>
      <w:szCs w:val="16"/>
    </w:rPr>
  </w:style>
  <w:style w:type="paragraph" w:styleId="865">
    <w:name w:val="annotation text"/>
    <w:basedOn w:val="792"/>
    <w:link w:val="866"/>
    <w:unhideWhenUsed/>
    <w:pPr>
      <w:pBdr/>
      <w:spacing/>
      <w:ind/>
    </w:pPr>
    <w:rPr>
      <w:sz w:val="20"/>
      <w:szCs w:val="20"/>
    </w:rPr>
  </w:style>
  <w:style w:type="character" w:styleId="866" w:customStyle="1">
    <w:name w:val="Comment Text Char"/>
    <w:link w:val="865"/>
    <w:pPr>
      <w:pBdr/>
      <w:spacing/>
      <w:ind/>
    </w:pPr>
    <w:rPr>
      <w:rFonts w:ascii="Times New Roman" w:hAnsi="Times New Roman" w:eastAsia="Times New Roman" w:cs="Times New Roman"/>
      <w:sz w:val="20"/>
      <w:szCs w:val="20"/>
      <w:lang w:val="en-US"/>
    </w:rPr>
  </w:style>
  <w:style w:type="paragraph" w:styleId="867">
    <w:name w:val="annotation subject"/>
    <w:basedOn w:val="865"/>
    <w:next w:val="865"/>
    <w:link w:val="868"/>
    <w:uiPriority w:val="99"/>
    <w:semiHidden/>
    <w:unhideWhenUsed/>
    <w:pPr>
      <w:pBdr/>
      <w:spacing/>
      <w:ind/>
    </w:pPr>
    <w:rPr>
      <w:b/>
      <w:bCs/>
    </w:rPr>
  </w:style>
  <w:style w:type="character" w:styleId="868" w:customStyle="1">
    <w:name w:val="Comment Subject Char"/>
    <w:link w:val="867"/>
    <w:uiPriority w:val="99"/>
    <w:semiHidden/>
    <w:pPr>
      <w:pBdr/>
      <w:spacing/>
      <w:ind/>
    </w:pPr>
    <w:rPr>
      <w:rFonts w:ascii="Times New Roman" w:hAnsi="Times New Roman" w:eastAsia="Times New Roman" w:cs="Times New Roman"/>
      <w:b/>
      <w:bCs/>
      <w:sz w:val="20"/>
      <w:szCs w:val="20"/>
      <w:lang w:val="en-US"/>
    </w:rPr>
  </w:style>
  <w:style w:type="paragraph" w:styleId="869">
    <w:name w:val="Revision"/>
    <w:hidden/>
    <w:uiPriority w:val="99"/>
    <w:semiHidden/>
    <w:pPr>
      <w:pBdr/>
      <w:spacing/>
      <w:ind/>
    </w:pPr>
    <w:rPr>
      <w:rFonts w:ascii="Times New Roman" w:hAnsi="Times New Roman" w:eastAsia="Times New Roman"/>
      <w:sz w:val="24"/>
      <w:szCs w:val="24"/>
    </w:rPr>
  </w:style>
  <w:style w:type="paragraph" w:styleId="870" w:customStyle="1">
    <w:name w:val="pbody"/>
    <w:basedOn w:val="792"/>
    <w:pPr>
      <w:pBdr/>
      <w:spacing w:after="100" w:afterAutospacing="1" w:before="100" w:beforeAutospacing="1"/>
      <w:ind/>
    </w:pPr>
  </w:style>
  <w:style w:type="paragraph" w:styleId="871">
    <w:name w:val="Caption"/>
    <w:basedOn w:val="792"/>
    <w:next w:val="792"/>
    <w:qFormat/>
    <w:pPr>
      <w:pBdr/>
      <w:spacing w:after="120" w:before="120"/>
      <w:ind/>
    </w:pPr>
    <w:rPr>
      <w:rFonts w:ascii=".VnTime" w:hAnsi=".VnTime"/>
      <w:b/>
      <w:bCs/>
      <w:color w:val="0000ff"/>
      <w:sz w:val="20"/>
      <w:szCs w:val="26"/>
    </w:rPr>
  </w:style>
  <w:style w:type="paragraph" w:styleId="872" w:customStyle="1">
    <w:name w:val="Char3"/>
    <w:basedOn w:val="792"/>
    <w:pPr>
      <w:pageBreakBefore w:val="true"/>
      <w:pBdr/>
      <w:spacing w:after="100" w:afterAutospacing="1" w:before="100" w:beforeAutospacing="1"/>
      <w:ind/>
    </w:pPr>
    <w:rPr>
      <w:rFonts w:ascii="Tahoma" w:hAnsi="Tahoma" w:cs="Tahoma"/>
      <w:sz w:val="20"/>
      <w:szCs w:val="20"/>
    </w:rPr>
  </w:style>
  <w:style w:type="paragraph" w:styleId="873" w:customStyle="1">
    <w:name w:val="Char Char Char Char2"/>
    <w:basedOn w:val="792"/>
    <w:pPr>
      <w:pBdr/>
      <w:spacing w:after="160" w:line="240" w:lineRule="exact"/>
      <w:ind/>
    </w:pPr>
    <w:rPr>
      <w:rFonts w:ascii="Tahoma" w:hAnsi="Tahoma" w:eastAsia="PMingLiU"/>
      <w:sz w:val="20"/>
      <w:szCs w:val="20"/>
    </w:rPr>
  </w:style>
  <w:style w:type="paragraph" w:styleId="874" w:customStyle="1">
    <w:name w:val="Char Char Char Char1"/>
    <w:basedOn w:val="792"/>
    <w:pPr>
      <w:pageBreakBefore w:val="true"/>
      <w:pBdr/>
      <w:spacing w:after="100" w:afterAutospacing="1" w:before="100" w:beforeAutospacing="1"/>
      <w:ind/>
    </w:pPr>
    <w:rPr>
      <w:rFonts w:ascii="Tahoma" w:hAnsi="Tahoma" w:cs="Tahoma"/>
      <w:sz w:val="20"/>
      <w:szCs w:val="20"/>
    </w:rPr>
  </w:style>
  <w:style w:type="paragraph" w:styleId="875" w:customStyle="1">
    <w:name w:val="Char Char2"/>
    <w:basedOn w:val="792"/>
    <w:pPr>
      <w:pageBreakBefore w:val="true"/>
      <w:pBdr/>
      <w:spacing w:after="100" w:afterAutospacing="1" w:before="100" w:beforeAutospacing="1"/>
      <w:ind/>
    </w:pPr>
    <w:rPr>
      <w:rFonts w:ascii="Tahoma" w:hAnsi="Tahoma" w:cs="Tahoma"/>
      <w:sz w:val="20"/>
      <w:szCs w:val="20"/>
    </w:rPr>
  </w:style>
  <w:style w:type="paragraph" w:styleId="876" w:customStyle="1">
    <w:name w:val="Char Char Char Char13"/>
    <w:basedOn w:val="792"/>
    <w:pPr>
      <w:pageBreakBefore w:val="true"/>
      <w:pBdr/>
      <w:spacing w:after="100" w:afterAutospacing="1" w:before="100" w:beforeAutospacing="1"/>
      <w:ind/>
    </w:pPr>
    <w:rPr>
      <w:rFonts w:ascii="Tahoma" w:hAnsi="Tahoma" w:cs="Tahoma"/>
      <w:sz w:val="20"/>
      <w:szCs w:val="20"/>
    </w:rPr>
  </w:style>
  <w:style w:type="paragraph" w:styleId="877" w:customStyle="1">
    <w:name w:val="Char2"/>
    <w:basedOn w:val="792"/>
    <w:pPr>
      <w:pBdr/>
      <w:spacing w:after="160" w:line="240" w:lineRule="exact"/>
      <w:ind/>
    </w:pPr>
    <w:rPr>
      <w:sz w:val="20"/>
      <w:szCs w:val="20"/>
      <w:lang w:val="en-GB" w:eastAsia="zh-CN"/>
    </w:rPr>
  </w:style>
  <w:style w:type="character" w:styleId="878">
    <w:name w:val="FollowedHyperlink"/>
    <w:uiPriority w:val="99"/>
    <w:unhideWhenUsed/>
    <w:pPr>
      <w:pBdr/>
      <w:spacing/>
      <w:ind/>
    </w:pPr>
    <w:rPr>
      <w:color w:val="800080"/>
      <w:u w:val="single"/>
    </w:rPr>
  </w:style>
  <w:style w:type="paragraph" w:styleId="879" w:customStyle="1">
    <w:name w:val="Char Char1"/>
    <w:basedOn w:val="792"/>
    <w:pPr>
      <w:pBdr/>
      <w:spacing w:line="312" w:lineRule="auto"/>
      <w:ind w:firstLine="567"/>
      <w:jc w:val="both"/>
    </w:pPr>
    <w:rPr>
      <w:rFonts w:cs="Tahoma"/>
      <w:sz w:val="28"/>
      <w:szCs w:val="20"/>
    </w:rPr>
  </w:style>
  <w:style w:type="paragraph" w:styleId="880" w:customStyle="1">
    <w:name w:val="Char Char Char Char12"/>
    <w:basedOn w:val="792"/>
    <w:pPr>
      <w:pageBreakBefore w:val="true"/>
      <w:pBdr/>
      <w:spacing w:after="100" w:afterAutospacing="1" w:before="100" w:beforeAutospacing="1"/>
      <w:ind/>
    </w:pPr>
    <w:rPr>
      <w:rFonts w:ascii="Tahoma" w:hAnsi="Tahoma" w:cs="Tahoma"/>
      <w:sz w:val="20"/>
      <w:szCs w:val="20"/>
    </w:rPr>
  </w:style>
  <w:style w:type="paragraph" w:styleId="881" w:customStyle="1">
    <w:name w:val="Char Char Char Char11"/>
    <w:basedOn w:val="792"/>
    <w:pPr>
      <w:pageBreakBefore w:val="true"/>
      <w:pBdr/>
      <w:spacing w:after="100" w:afterAutospacing="1" w:before="100" w:beforeAutospacing="1"/>
      <w:ind/>
    </w:pPr>
    <w:rPr>
      <w:rFonts w:ascii="Tahoma" w:hAnsi="Tahoma" w:cs="Tahoma"/>
      <w:sz w:val="20"/>
      <w:szCs w:val="20"/>
    </w:rPr>
  </w:style>
  <w:style w:type="character" w:styleId="882" w:customStyle="1">
    <w:name w:val="Văn bản nội dung (2)_"/>
    <w:link w:val="883"/>
    <w:pPr>
      <w:pBdr/>
      <w:spacing/>
      <w:ind/>
    </w:pPr>
    <w:rPr>
      <w:rFonts w:ascii="Times New Roman" w:hAnsi="Times New Roman" w:eastAsia="Times New Roman" w:cs="Times New Roman"/>
      <w:b/>
      <w:bCs/>
      <w:sz w:val="19"/>
      <w:szCs w:val="19"/>
      <w:shd w:val="clear" w:color="auto" w:fill="ffffff"/>
    </w:rPr>
  </w:style>
  <w:style w:type="paragraph" w:styleId="883" w:customStyle="1">
    <w:name w:val="Văn bản nội dung (2)"/>
    <w:basedOn w:val="792"/>
    <w:link w:val="882"/>
    <w:pPr>
      <w:widowControl w:val="false"/>
      <w:pBdr/>
      <w:shd w:val="clear" w:color="auto" w:fill="ffffff"/>
      <w:spacing w:line="0" w:lineRule="atLeast"/>
      <w:ind/>
      <w:jc w:val="center"/>
    </w:pPr>
    <w:rPr>
      <w:b/>
      <w:bCs/>
      <w:sz w:val="19"/>
      <w:szCs w:val="19"/>
    </w:rPr>
  </w:style>
  <w:style w:type="character" w:styleId="884" w:customStyle="1">
    <w:name w:val="Văn bản nội dung_"/>
    <w:link w:val="885"/>
    <w:pPr>
      <w:pBdr/>
      <w:spacing/>
      <w:ind/>
    </w:pPr>
    <w:rPr>
      <w:rFonts w:ascii="Times New Roman" w:hAnsi="Times New Roman" w:eastAsia="Times New Roman" w:cs="Times New Roman"/>
      <w:sz w:val="21"/>
      <w:szCs w:val="21"/>
      <w:shd w:val="clear" w:color="auto" w:fill="ffffff"/>
    </w:rPr>
  </w:style>
  <w:style w:type="paragraph" w:styleId="885" w:customStyle="1">
    <w:name w:val="Văn bản nội dung"/>
    <w:basedOn w:val="792"/>
    <w:link w:val="884"/>
    <w:pPr>
      <w:widowControl w:val="false"/>
      <w:pBdr/>
      <w:shd w:val="clear" w:color="auto" w:fill="ffffff"/>
      <w:spacing w:line="336" w:lineRule="exact"/>
      <w:ind/>
    </w:pPr>
    <w:rPr>
      <w:sz w:val="21"/>
      <w:szCs w:val="21"/>
    </w:rPr>
  </w:style>
  <w:style w:type="paragraph" w:styleId="886">
    <w:name w:val="footnote text"/>
    <w:basedOn w:val="792"/>
    <w:link w:val="887"/>
    <w:uiPriority w:val="99"/>
    <w:semiHidden/>
    <w:unhideWhenUsed/>
    <w:pPr>
      <w:pBdr/>
      <w:spacing/>
      <w:ind/>
    </w:pPr>
    <w:rPr>
      <w:sz w:val="20"/>
      <w:szCs w:val="20"/>
    </w:rPr>
  </w:style>
  <w:style w:type="character" w:styleId="887" w:customStyle="1">
    <w:name w:val="Footnote Text Char"/>
    <w:link w:val="886"/>
    <w:uiPriority w:val="99"/>
    <w:semiHidden/>
    <w:pPr>
      <w:pBdr/>
      <w:spacing/>
      <w:ind/>
    </w:pPr>
    <w:rPr>
      <w:rFonts w:ascii="Times New Roman" w:hAnsi="Times New Roman" w:eastAsia="Times New Roman" w:cs="Times New Roman"/>
      <w:sz w:val="20"/>
      <w:szCs w:val="20"/>
      <w:lang w:val="en-US"/>
    </w:rPr>
  </w:style>
  <w:style w:type="character" w:styleId="888">
    <w:name w:val="footnote reference"/>
    <w:uiPriority w:val="99"/>
    <w:semiHidden/>
    <w:unhideWhenUsed/>
    <w:pPr>
      <w:pBdr/>
      <w:spacing/>
      <w:ind/>
    </w:pPr>
    <w:rPr>
      <w:vertAlign w:val="superscript"/>
    </w:rPr>
  </w:style>
  <w:style w:type="paragraph" w:styleId="889">
    <w:name w:val="endnote text"/>
    <w:basedOn w:val="792"/>
    <w:link w:val="890"/>
    <w:uiPriority w:val="99"/>
    <w:semiHidden/>
    <w:unhideWhenUsed/>
    <w:pPr>
      <w:pBdr/>
      <w:spacing/>
      <w:ind/>
    </w:pPr>
    <w:rPr>
      <w:sz w:val="20"/>
      <w:szCs w:val="20"/>
    </w:rPr>
  </w:style>
  <w:style w:type="character" w:styleId="890" w:customStyle="1">
    <w:name w:val="Endnote Text Char"/>
    <w:link w:val="889"/>
    <w:uiPriority w:val="99"/>
    <w:semiHidden/>
    <w:pPr>
      <w:pBdr/>
      <w:spacing/>
      <w:ind/>
    </w:pPr>
    <w:rPr>
      <w:rFonts w:ascii="Times New Roman" w:hAnsi="Times New Roman" w:eastAsia="Times New Roman" w:cs="Times New Roman"/>
      <w:sz w:val="20"/>
      <w:szCs w:val="20"/>
      <w:lang w:val="en-US"/>
    </w:rPr>
  </w:style>
  <w:style w:type="character" w:styleId="891">
    <w:name w:val="endnote reference"/>
    <w:uiPriority w:val="99"/>
    <w:semiHidden/>
    <w:unhideWhenUsed/>
    <w:pPr>
      <w:pBdr/>
      <w:spacing/>
      <w:ind/>
    </w:pPr>
    <w:rPr>
      <w:vertAlign w:val="superscript"/>
    </w:rPr>
  </w:style>
  <w:style w:type="character" w:styleId="892" w:customStyle="1">
    <w:name w:val="List Paragraph Char"/>
    <w:link w:val="846"/>
    <w:uiPriority w:val="34"/>
    <w:qFormat/>
    <w:pPr>
      <w:pBdr/>
      <w:spacing/>
      <w:ind/>
    </w:pPr>
    <w:rPr>
      <w:rFonts w:ascii="Times New Roman" w:hAnsi="Times New Roman"/>
      <w:sz w:val="28"/>
      <w:szCs w:val="22"/>
    </w:rPr>
  </w:style>
  <w:style w:type="character" w:styleId="893" w:customStyle="1">
    <w:name w:val="Văn bản nội dung + In đậm"/>
    <w:pPr>
      <w:pBdr/>
      <w:spacing/>
      <w:ind/>
    </w:pPr>
    <w:rPr>
      <w:rFonts w:ascii="Times New Roman" w:hAnsi="Times New Roman" w:eastAsia="Times New Roman" w:cs="Times New Roman"/>
      <w:b/>
      <w:bCs/>
      <w:i w:val="0"/>
      <w:iCs w:val="0"/>
      <w:smallCaps w:val="0"/>
      <w:strike w:val="0"/>
      <w:color w:val="000000"/>
      <w:spacing w:val="0"/>
      <w:position w:val="0"/>
      <w:sz w:val="21"/>
      <w:szCs w:val="21"/>
      <w:u w:val="none"/>
      <w:shd w:val="clear" w:color="auto" w:fill="ffffff"/>
      <w:lang w:val="vi-VN"/>
    </w:rPr>
  </w:style>
  <w:style w:type="paragraph" w:styleId="894" w:customStyle="1">
    <w:name w:val="Char"/>
    <w:basedOn w:val="792"/>
    <w:pPr>
      <w:pBdr/>
      <w:spacing w:after="160" w:line="240" w:lineRule="exact"/>
      <w:ind/>
    </w:pPr>
    <w:rPr>
      <w:rFonts w:ascii="Tahoma" w:hAnsi="Tahoma" w:eastAsia="PMingLiU"/>
      <w:sz w:val="20"/>
      <w:szCs w:val="20"/>
    </w:rPr>
  </w:style>
  <w:style w:type="table" w:styleId="895" w:customStyle="1">
    <w:name w:val="Lưới Bảng1"/>
    <w:basedOn w:val="803"/>
    <w:next w:val="822"/>
    <w:pPr>
      <w:pBdr/>
      <w:spacing/>
      <w:ind/>
    </w:pPr>
    <w:rPr>
      <w:rFonts w:asciiTheme="minorHAnsi" w:hAnsiTheme="minorHAnsi" w:eastAsiaTheme="minorHAnsi" w:cstheme="minorBidi"/>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Table Grid3"/>
    <w:basedOn w:val="803"/>
    <w:next w:val="822"/>
    <w:uiPriority w:val="59"/>
    <w:pPr>
      <w:pBdr/>
      <w:spacing/>
      <w:ind/>
    </w:pPr>
    <w:rPr>
      <w:rFonts w:ascii="Times New Roman" w:hAnsi="Times New Roman"/>
      <w:sz w:val="26"/>
      <w:szCs w:val="22"/>
      <w:lang w:val="en-GB"/>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97">
    <w:name w:val="Placeholder Text"/>
    <w:basedOn w:val="802"/>
    <w:uiPriority w:val="99"/>
    <w:semiHidden/>
    <w:pPr>
      <w:pBdr/>
      <w:spacing/>
      <w:ind/>
    </w:pPr>
    <w:rPr>
      <w:color w:val="808080"/>
    </w:rPr>
  </w:style>
  <w:style w:type="table" w:styleId="898" w:customStyle="1">
    <w:name w:val="Table Grid1"/>
    <w:basedOn w:val="803"/>
    <w:next w:val="822"/>
    <w:uiPriority w:val="59"/>
    <w:pPr>
      <w:pBdr/>
      <w:spacing/>
      <w:ind/>
    </w:pPr>
    <w:rPr>
      <w:rFonts w:ascii="Times New Roman" w:hAnsi="Times New Roman" w:eastAsiaTheme="minorHAnsi"/>
      <w:sz w:val="24"/>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Table Grid2"/>
    <w:basedOn w:val="803"/>
    <w:next w:val="822"/>
    <w:uiPriority w:val="59"/>
    <w:pPr>
      <w:pBdr/>
      <w:spacing/>
      <w:ind/>
    </w:pPr>
    <w:rPr>
      <w:rFonts w:ascii="Times New Roman" w:hAnsi="Times New Roman"/>
      <w:sz w:val="26"/>
      <w:szCs w:val="26"/>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Table Grid12"/>
    <w:basedOn w:val="803"/>
    <w:next w:val="822"/>
    <w:uiPriority w:val="39"/>
    <w:pPr>
      <w:pBdr/>
      <w:spacing/>
      <w:ind/>
    </w:pPr>
    <w:rPr>
      <w:sz w:val="22"/>
      <w:szCs w:val="22"/>
      <w:lang w:val="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Table Grid31"/>
    <w:basedOn w:val="803"/>
    <w:next w:val="822"/>
    <w:uiPriority w:val="59"/>
    <w:pPr>
      <w:pBdr/>
      <w:spacing/>
      <w:ind/>
    </w:pPr>
    <w:rPr>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4996EE-D0B0-4516-A4FA-4F09AC5B2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onlyoffice/9.2.1.8</Application>
  <DocSecurity>0</DocSecurity>
  <ScaleCrop>0</ScaleCrop>
  <HeadingPairs>
    <vt:vector size="0" baseType="variant"/>
  </HeadingPairs>
  <TitlesOfParts>
    <vt:vector size="0" baseType="lpstr"/>
  </TitlesOfParts>
  <Company>Agribank</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dc:creator>
  <cp:lastModifiedBy>Quân Bùi (Guest)</cp:lastModifiedBy>
  <cp:revision>12</cp:revision>
  <dcterms:created xsi:type="dcterms:W3CDTF">2023-09-30T14:06:00Z</dcterms:created>
  <dcterms:modified xsi:type="dcterms:W3CDTF">2026-03-02T00:46:05Z</dcterms:modified>
</cp:coreProperties>
</file>