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14:paraId="0E19C16E">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w:t>
      </w:r>
      <w:r>
        <w:rPr>
          <w:rFonts w:ascii="Times New Roman" w:hAnsi="Times New Roman" w:eastAsia="Times New Roman" w:cs="Times New Roman"/>
          <w:i/>
          <w:color w:val="000000"/>
          <w:sz w:val="26"/>
        </w:rPr>
        <w:t xml:space="preserve"> chế số 656/QC-HĐTV- TD ngày 31/8/2023; Quy chế số 1546/QC-HĐTV-TD ngày 27/12/2024 của Hội đồng thành viên về việc sửa đổi, bổ sung một số điều của Quy chế số 656/QC-HĐTV- TD ngày 31/8/2023;</w:t>
      </w:r>
      <w:r/>
    </w:p>
    <w:p w14:paraId="784954AC">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w:t>
      </w:r>
      <w:r>
        <w:rPr>
          <w:rFonts w:ascii="Times New Roman" w:hAnsi="Times New Roman" w:eastAsia="Times New Roman" w:cs="Times New Roman"/>
          <w:i/>
          <w:color w:val="000000"/>
          <w:sz w:val="26"/>
        </w:rPr>
        <w:t xml:space="preserve">-NHNo-TD ngày 19/9/2023; Quy định số 1799/QC-HĐTV-TD ngày 27/6/2025 của Tổng giám đốc về việc sửa đổi, bổ sung một số điều của Quy định số 2268/QyĐ-NHNo-TD ngày 19/9/2023;</w:t>
      </w:r>
      <w:r/>
    </w:p>
    <w:p w14:paraId="3CA91795">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ab/>
        <w:t xml:space="preserve">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w:t>
      </w:r>
      <w:r>
        <w:rPr>
          <w:rFonts w:ascii="Times New Roman" w:hAnsi="Times New Roman" w:eastAsia="Times New Roman" w:cs="Times New Roman"/>
          <w:i/>
          <w:color w:val="000000"/>
          <w:sz w:val="26"/>
        </w:rPr>
        <w:t xml:space="preserve">ấp tín dụng trong hệ thống Agribank; Thông báo số 20222/NHNo-TD ngày 31/12/2024 của Tổng giám đốc Agribank về thẩm quyền cấp tín dụng năm 2025; Thông báo số 2697/NHNo.LĐ-TĐ ngày 31/12/2024 của Giám đốc Agribank chi nhánh tỉnh Lâm Đồng về thẩm quyền cấp tín</w:t>
      </w:r>
      <w:r>
        <w:rPr>
          <w:rFonts w:ascii="Times New Roman" w:hAnsi="Times New Roman" w:eastAsia="Times New Roman" w:cs="Times New Roman"/>
          <w:i/>
          <w:color w:val="000000"/>
          <w:sz w:val="26"/>
        </w:rPr>
        <w:t xml:space="preserve"> dụng năm 2025 của các đơn vị trực thuộc;</w:t>
      </w:r>
      <w:r/>
    </w:p>
    <w:p>
      <w:pPr>
        <w:pBdr/>
        <w:spacing/>
        <w:ind w:right="0" w:firstLine="540" w:left="0"/>
        <w:jc w:val="both"/>
        <w:rPr>
          <w:rFonts w:eastAsia="Calibri"/>
          <w:bCs/>
          <w:i/>
          <w:sz w:val="26"/>
          <w:szCs w:val="26"/>
        </w:rPr>
      </w:pPr>
      <w:r>
        <w:rPr>
          <w:rFonts w:ascii="Times New Roman" w:hAnsi="Times New Roman" w:eastAsia="Times New Roman" w:cs="Times New Roman"/>
          <w:i/>
          <w:color w:val="000000"/>
          <w:sz w:val="26"/>
        </w:rPr>
        <w:tab/>
        <w:t xml:space="preserve">Căn cứ vào hồ sơ vay vốn của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0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Nhóm 1</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sz w:val="26"/>
          <w:szCs w:val="26"/>
          <w:highlight w:val="none"/>
        </w:rPr>
      </w:pPr>
      <w:r>
        <w:rPr>
          <w:sz w:val="26"/>
          <w:szCs w:val="26"/>
        </w:rPr>
        <w:t xml:space="preserve">- Kết quả kinh doanh, doanh thu, lợi nhuận trong 3 năm liền kề:</w:t>
      </w:r>
      <w:r>
        <w:rPr>
          <w:sz w:val="26"/>
          <w:szCs w:val="26"/>
          <w:highlight w:val="none"/>
        </w:rPr>
      </w:r>
      <w:r>
        <w:rPr>
          <w:sz w:val="26"/>
          <w:szCs w:val="26"/>
          <w:highlight w:val="none"/>
        </w:rPr>
      </w:r>
    </w:p>
    <w:p w14:paraId="68AD2F5D">
      <w:pPr>
        <w:pBdr/>
        <w:spacing/>
        <w:ind w:firstLine="567"/>
        <w:jc w:val="right"/>
        <w:rPr>
          <w:sz w:val="26"/>
          <w:szCs w:val="26"/>
          <w:highlight w:val="none"/>
        </w:rPr>
      </w:pPr>
      <w:r>
        <w:rPr>
          <w:sz w:val="26"/>
          <w:szCs w:val="26"/>
          <w:highlight w:val="none"/>
        </w:rPr>
        <w:t xml:space="preserve">Đơn vị: triệu đồng</w:t>
      </w:r>
      <w:r>
        <w:rPr>
          <w:sz w:val="26"/>
          <w:szCs w:val="26"/>
          <w:highlight w:val="none"/>
        </w:rPr>
      </w:r>
      <w:r>
        <w:rPr>
          <w:sz w:val="26"/>
          <w:szCs w:val="26"/>
          <w:highlight w:val="none"/>
        </w:rPr>
      </w:r>
    </w:p>
    <w:tbl>
      <w:tblPr>
        <w:tblStyle w:val="974"/>
        <w:tblInd w:w="0" w:type="dxa"/>
        <w:tblW w:w="5000" w:type="pct"/>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41"/>
        <w:gridCol w:w="2118"/>
        <w:gridCol w:w="2615"/>
        <w:gridCol w:w="2055"/>
        <w:gridCol w:w="1825"/>
      </w:tblGrid>
      <w:tr>
        <w:trPr>
          <w:trHeight w:val="73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41" w:type="dxa"/>
            <w:vAlign w:val="center"/>
            <w:textDirection w:val="lrTb"/>
            <w:noWrap/>
          </w:tcPr>
          <w:p w14:paraId="45FAB656">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Năm</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18" w:type="dxa"/>
            <w:vAlign w:val="center"/>
            <w:textDirection w:val="lrTb"/>
            <w:noWrap w:val="false"/>
          </w:tcPr>
          <w:p w14:paraId="271FCE97">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Doanh thu thuần về bán hàng và cung cấp dịch vụ</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15" w:type="dxa"/>
            <w:vAlign w:val="center"/>
            <w:textDirection w:val="lrTb"/>
            <w:noWrap w:val="false"/>
          </w:tcPr>
          <w:p w14:paraId="630F5064">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gộp về bán hàng và cung cấp dịch vụ</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5" w:type="dxa"/>
            <w:vAlign w:val="center"/>
            <w:textDirection w:val="lrTb"/>
            <w:noWrap w:val="false"/>
          </w:tcPr>
          <w:p w14:paraId="329D8AC7">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thuần từ hoạt động kinh doanh</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25" w:type="dxa"/>
            <w:vAlign w:val="center"/>
            <w:textDirection w:val="lrTb"/>
            <w:noWrap w:val="false"/>
          </w:tcPr>
          <w:p w14:paraId="55311AE5">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sau thuế</w:t>
            </w:r>
            <w:r>
              <w:rPr>
                <w:b/>
                <w:bCs/>
                <w:sz w:val="24"/>
                <w:szCs w:val="24"/>
              </w:rPr>
            </w:r>
            <w:r>
              <w:rPr>
                <w:b/>
                <w:bCs/>
                <w:sz w:val="24"/>
                <w:szCs w:val="24"/>
              </w:rPr>
            </w:r>
          </w:p>
        </w:tc>
      </w:tr>
    </w:tbl>
    <w:p w14:paraId="0CE4BAD2">
      <w:pPr>
        <w:pBdr/>
        <w:spacing/>
        <w:ind w:firstLine="567"/>
        <w:jc w:val="both"/>
        <w:rPr>
          <w:rFonts w:eastAsia="Calibri"/>
          <w:sz w:val="26"/>
          <w:szCs w:val="26"/>
        </w:rPr>
      </w:pPr>
      <w:r>
        <w:rPr>
          <w:sz w:val="26"/>
          <w:szCs w:val="26"/>
          <w:highlight w:val="none"/>
        </w:rPr>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đăng ký doanh nghiệp</w:t>
      </w:r>
      <w:r>
        <w:rPr>
          <w:rFonts w:ascii="Times New Roman" w:hAnsi="Times New Roman" w:cs="Times New Roman"/>
          <w:sz w:val="26"/>
          <w:szCs w:val="26"/>
        </w:rPr>
        <w:t xml:space="preserve"> số </w:t>
      </w:r>
      <w:r>
        <w:rPr>
          <w:rFonts w:ascii="Times New Roman" w:hAnsi="Times New Roman" w:cs="Times New Roman"/>
          <w:sz w:val="26"/>
          <w:szCs w:val="26"/>
        </w:rPr>
        <w:t xml:space="preserve"> 5800545361</w:t>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cấp lần đầu ngày 12/11/2007, đăng ký thay đổi lần thứ 5 ngày 27/4/2017</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w:t>
      </w:r>
      <w:r>
        <w:rPr>
          <w:sz w:val="26"/>
          <w:szCs w:val="26"/>
        </w:rPr>
        <w:t xml:space="preserve">Thiều Thị Thu Loan</w:t>
      </w:r>
      <w:r>
        <w:rPr>
          <w:sz w:val="26"/>
          <w:szCs w:val="26"/>
        </w:rPr>
        <w:t xml:space="preserve">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w:t>
      </w:r>
      <w:r>
        <w:rPr>
          <w:sz w:val="26"/>
          <w:szCs w:val="26"/>
        </w:rPr>
        <w:t/>
      </w:r>
      <w:r>
        <w:rPr>
          <w:sz w:val="26"/>
          <w:szCs w:val="26"/>
        </w:rPr>
        <w:t xml:space="preserve"> cấp ngày </w:t>
      </w:r>
      <w:r>
        <w:rPr>
          <w:sz w:val="26"/>
          <w:szCs w:val="26"/>
        </w:rPr>
        <w:t/>
      </w:r>
      <w:r>
        <w:rPr>
          <w:sz w:val="26"/>
          <w:szCs w:val="26"/>
        </w:rPr>
        <w:t xml:space="preserve">; Nơi cấp: </w:t>
      </w:r>
      <w:r>
        <w:rPr>
          <w:sz w:val="26"/>
          <w:szCs w:val="26"/>
        </w:rPr>
        <w:t/>
      </w:r>
      <w:r>
        <w:rPr>
          <w:sz w:val="26"/>
          <w:szCs w:val="26"/>
        </w:rPr>
        <w:t xml:space="preserve">.</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80"/>
        <w:gridCol w:w="2663"/>
        <w:gridCol w:w="2382"/>
        <w:gridCol w:w="1970"/>
        <w:gridCol w:w="959"/>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và các năm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0</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Không có</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14.564 triệu đồng</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Nhóm 1</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triệu đồng</w:t>
      </w:r>
      <w:r>
        <w:rPr>
          <w:rFonts w:eastAsia="Calibri" w:eastAsiaTheme="minorHAnsi"/>
          <w:b/>
          <w:i/>
          <w:iCs/>
          <w:sz w:val="26"/>
        </w:rPr>
      </w:r>
      <w:r>
        <w:rPr>
          <w:rFonts w:eastAsia="Calibri" w:eastAsiaTheme="minorHAnsi"/>
          <w:b/>
          <w:i/>
          <w:iCs/>
          <w:sz w:val="26"/>
        </w:rPr>
      </w:r>
    </w:p>
    <w:tbl>
      <w:tblPr>
        <w:tblStyle w:val="974"/>
        <w:tblInd w:w="0" w:type="dxa"/>
        <w:tblW w:w="5000" w:type="pct"/>
        <w:tblCellMar>
          <w:left w:w="10" w:type="dxa"/>
          <w:top w:w="0" w:type="dxa"/>
          <w:right w:w="1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95"/>
        <w:gridCol w:w="2351"/>
        <w:gridCol w:w="1999"/>
        <w:gridCol w:w="1300"/>
        <w:gridCol w:w="3412"/>
      </w:tblGrid>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254C05E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STT</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1A83CD7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 CHỨC TÍN DỤNG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41E7F26">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TỔNG GIÁ TRỊ KHOẢN VAY</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5A20D4D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DƯ NỢ</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97B0FD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MỤC ĐÍCH SỬ DỤNG VỐN</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791A08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1</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4F3A9E0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Agribank Chi nhánh Lâm Đồng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458479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44E9776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578D531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 1.1</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589492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pPr>
            <w:r>
              <w:rPr>
                <w:rFonts w:ascii="Times New Roman" w:hAnsi="Times New Roman" w:eastAsia="Times New Roman" w:cs="Times New Roman"/>
                <w:color w:val="000000"/>
                <w:sz w:val="24"/>
              </w:rPr>
              <w:t xml:space="preserve">Ngắn hạn</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79B863E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B114B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7E8C3B35">
            <w:pPr>
              <w:pBdr/>
              <w:spacing/>
              <w:ind/>
              <w:rPr/>
            </w:pPr>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767268A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1.2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06CB34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Trung, dài hạn</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3898BA1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40503F7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4999C86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CE3CCE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2</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0A35908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các TCTD khác</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957DD0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B8DA5B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F63112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2.1 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01A4A8FE">
            <w:pPr>
              <w:pBdr/>
              <w:spacing/>
              <w:ind w:right="0" w:firstLine="0" w:left="90"/>
              <w:rPr/>
            </w:pPr>
            <w:r>
              <w:t xml:space="preserve">Không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5A601CF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62F39F3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0925357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2C05404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2.2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4283C8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0A22DAC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6E60A84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7339492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245961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F43A2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Tổng cộng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5F650B4">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A86EB8B">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1B2FDAF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bl>
    <w:p>
      <w:pPr>
        <w:pBdr/>
        <w:spacing w:before="120"/>
        <w:ind w:firstLine="567"/>
        <w:jc w:val="both"/>
        <w:rPr>
          <w:rFonts w:eastAsiaTheme="minorHAnsi"/>
          <w:b/>
          <w:bCs/>
          <w:iCs/>
          <w:sz w:val="26"/>
          <w:szCs w:val="26"/>
          <w:highlight w:val="none"/>
        </w:rPr>
      </w:pPr>
      <w:r>
        <w:rPr>
          <w:b/>
          <w:bCs/>
          <w:sz w:val="26"/>
          <w:szCs w:val="26"/>
        </w:rPr>
        <w:t xml:space="preserve">b) Theo thông tin trên hệ thống IPCAS</w:t>
      </w:r>
      <w:r>
        <w:rPr>
          <w:rFonts w:eastAsiaTheme="minorHAnsi"/>
          <w:b/>
          <w:bCs/>
          <w:iCs/>
          <w:sz w:val="26"/>
          <w:szCs w:val="26"/>
          <w:highlight w:val="none"/>
        </w:rPr>
      </w:r>
      <w:r>
        <w:rPr>
          <w:rFonts w:eastAsiaTheme="minorHAnsi"/>
          <w:b/>
          <w:bCs/>
          <w:iCs/>
          <w:sz w:val="26"/>
          <w:szCs w:val="26"/>
          <w:highlight w:val="none"/>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5400-251692470</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Phó giám đốc Agribank Chi nhánh Lâm Đồng</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A6</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5400-005693149</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Phó giám đốc Agribank Chi nhánh Lâm Đồng</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A4</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46"/>
        <w:gridCol w:w="3841"/>
        <w:gridCol w:w="2179"/>
        <w:gridCol w:w="2179"/>
        <w:gridCol w:w="2187"/>
      </w:tblGrid>
      <w:tr>
        <w:trPr>
          <w:tblHeader/>
        </w:trPr>
        <w:tc>
          <w:tcPr>
            <w:tcBorders>
              <w:top w:val="single" w:color="auto" w:sz="4" w:space="0"/>
              <w:left w:val="single" w:color="auto" w:sz="4" w:space="0"/>
              <w:bottom w:val="single" w:color="auto" w:sz="4" w:space="0"/>
              <w:right w:val="single" w:color="auto" w:sz="4" w:space="0"/>
            </w:tcBorders>
            <w:tcW w:w="1646" w:type="dxa"/>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28B0DE01">
            <w:pPr>
              <w:pBdr/>
              <w:spacing/>
              <w:ind/>
              <w:jc w:val="center"/>
              <w:rPr>
                <w:b/>
                <w:bCs/>
                <w:sz w:val="26"/>
                <w:szCs w:val="26"/>
              </w:rPr>
            </w:pPr>
            <w:r>
              <w:rPr>
                <w:b/>
                <w:bCs/>
                <w:sz w:val="26"/>
                <w:szCs w:val="26"/>
              </w:rPr>
              <w:t xml:space="preserve">Số GCN</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1646" w:type="dxa"/>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476712BE">
            <w:pPr>
              <w:pBdr/>
              <w:spacing/>
              <w:ind/>
              <w:rPr>
                <w:b/>
                <w:bCs/>
                <w:sz w:val="26"/>
                <w:szCs w:val="26"/>
              </w:rPr>
            </w:pPr>
            <w:r>
              <w:rPr>
                <w:b/>
                <w:bCs/>
                <w:sz w:val="26"/>
                <w:szCs w:val="26"/>
              </w:rPr>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right"/>
              <w:rPr>
                <w:rFonts w:eastAsia="Calibri"/>
                <w:b/>
                <w:sz w:val="26"/>
              </w:rPr>
            </w:pPr>
            <w:r>
              <w:rPr>
                <w:b/>
                <w:bCs/>
                <w:sz w:val="26"/>
                <w:szCs w:val="26"/>
              </w:rPr>
            </w:r>
            <w:r>
              <w:rPr>
                <w:b/>
                <w:bCs/>
                <w:sz w:val="26"/>
                <w:szCs w:val="26"/>
              </w:rPr>
              <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right"/>
              <w:rPr>
                <w:rFonts w:eastAsia="Calibri"/>
                <w:b/>
                <w:sz w:val="26"/>
              </w:rPr>
            </w:pPr>
            <w:r>
              <w:rPr>
                <w:b/>
                <w:bCs/>
                <w:sz w:val="26"/>
                <w:szCs w:val="26"/>
              </w:rPr>
            </w:r>
            <w:r>
              <w:rPr>
                <w:b/>
                <w:bCs/>
                <w:sz w:val="26"/>
                <w:szCs w:val="26"/>
              </w:rPr>
              <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14:paraId="3979F963">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a) Hồ sơ vay vốn của Khách hàng: đầy đủ, hợp lệ, hợp pháp.</w:t>
      </w:r>
      <w:r/>
    </w:p>
    <w:p w14:paraId="3DA7DD4C">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b) Năng lực pháp luật dân sự của khách hàng, năng lực hành vi dân sự của người đại diện theo pháp luật tại thời điểm vay vốn: khách hàng có đầy đủ năng lực pháp luật dân sự, người đại diện theo pháp luật có đầy đủ năng lực hành vi dân sự, năng lực pháp luậ</w:t>
      </w:r>
      <w:r>
        <w:rPr>
          <w:rFonts w:ascii="Times New Roman" w:hAnsi="Times New Roman" w:eastAsia="Times New Roman" w:cs="Times New Roman"/>
          <w:color w:val="000000"/>
          <w:sz w:val="26"/>
        </w:rPr>
        <w:t xml:space="preserve">t dân sự.</w:t>
      </w:r>
      <w:r/>
    </w:p>
    <w:p w14:paraId="7D81B8F2">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c) Đánh giá tính hợp pháp của mục đích sử dụng vốn: mục đích sử dụng vốn hợp pháp; không thuộc các đối tượng cấm kinh doanh theo quy định của pháp luật, phù hợp với ngành nghề kinh doanh theo Giấy phép đăng ký kinh doanh của Công ty. Phương án kinh doanh đ</w:t>
      </w:r>
      <w:r>
        <w:rPr>
          <w:rFonts w:ascii="Times New Roman" w:hAnsi="Times New Roman" w:eastAsia="Times New Roman" w:cs="Times New Roman"/>
          <w:color w:val="000000"/>
          <w:sz w:val="26"/>
        </w:rPr>
        <w:t xml:space="preserve">ã được đã được cấp có thẩm quyền thông qua theo quy định tại Điều lệ công ty.</w:t>
      </w: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14:paraId="01F6FF99">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Sau khi đánh giá khoản vay, Người quan hệ khách hàng đề xuất Phòng Thẩm định thực hiện thẩm định theo quy định. Nội dung cụ thể như sau:</w:t>
      </w:r>
      <w:r/>
    </w:p>
    <w:p w14:paraId="33601AF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Hạn mức cho vay tối đa: </w:t>
      </w:r>
      <w:r>
        <w:rPr>
          <w:rFonts w:ascii="Times New Roman" w:hAnsi="Times New Roman" w:eastAsia="Times New Roman" w:cs="Times New Roman"/>
          <w:color w:val="000000"/>
          <w:sz w:val="26"/>
        </w:rPr>
        <w:t xml:space="preserve">20.000.000.000</w:t>
      </w:r>
      <w:r>
        <w:rPr>
          <w:rFonts w:ascii="Times New Roman" w:hAnsi="Times New Roman" w:eastAsia="Times New Roman" w:cs="Times New Roman"/>
          <w:color w:val="000000"/>
          <w:sz w:val="26"/>
        </w:rPr>
        <w:t xml:space="preserve"> đồng (bằng chữ: ), bao gồm dư nợ tại HĐTD số  ngày  chuyển sang.</w:t>
      </w:r>
      <w:r/>
    </w:p>
    <w:p w14:paraId="7466488D">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Phương thức cho vay: Cho vay theo hạn mức.</w:t>
      </w:r>
      <w:r/>
    </w:p>
    <w:p w14:paraId="15BDA2A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Mục đích sử dụng vốn: </w:t>
      </w:r>
      <w:r>
        <w:rPr>
          <w:rFonts w:ascii="Times New Roman" w:hAnsi="Times New Roman" w:eastAsia="Times New Roman" w:cs="Times New Roman"/>
          <w:color w:val="000000"/>
          <w:sz w:val="26"/>
        </w:rPr>
        <w:t xml:space="preserve">Bổ sung vốn kinh doanh xăng dầu, vật liệu xây dựng</w:t>
      </w:r>
      <w:r>
        <w:rPr>
          <w:rFonts w:ascii="Times New Roman" w:hAnsi="Times New Roman" w:eastAsia="Times New Roman" w:cs="Times New Roman"/>
          <w:color w:val="000000"/>
          <w:sz w:val="26"/>
        </w:rPr>
        <w:t xml:space="preserve">.</w:t>
      </w:r>
      <w:r/>
    </w:p>
    <w:p w14:paraId="5BEC7974">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Thời gian duy trì hạn mức: tối đa </w:t>
      </w:r>
      <w:r>
        <w:rPr>
          <w:rFonts w:ascii="Times New Roman" w:hAnsi="Times New Roman" w:eastAsia="Times New Roman" w:cs="Times New Roman"/>
          <w:color w:val="000000"/>
          <w:sz w:val="26"/>
        </w:rPr>
        <w:t xml:space="preserve">36</w:t>
      </w:r>
      <w:r>
        <w:rPr>
          <w:rFonts w:ascii="Times New Roman" w:hAnsi="Times New Roman" w:eastAsia="Times New Roman" w:cs="Times New Roman"/>
          <w:color w:val="000000"/>
          <w:sz w:val="26"/>
        </w:rPr>
        <w:t xml:space="preserve"> tháng.</w:t>
      </w:r>
      <w:r/>
    </w:p>
    <w:p w14:paraId="2388F0DB">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Kỳ hạn trả nợ gốc và lãi: Theo từng Báo cáo đề xuất giải ngân.</w:t>
      </w:r>
      <w:r/>
    </w:p>
    <w:p w14:paraId="53B0695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trong hạn: Áp dụng theo từng lần nhận nợ với quy định cụ thể như sau:</w:t>
      </w:r>
      <w:r/>
    </w:p>
    <w:p w14:paraId="58CD1551">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w:t>
      </w:r>
      <w:r>
        <w:rPr>
          <w:rFonts w:ascii="Times New Roman" w:hAnsi="Times New Roman" w:eastAsia="Times New Roman" w:cs="Times New Roman"/>
          <w:color w:val="000000"/>
          <w:sz w:val="26"/>
        </w:rPr>
        <w:t xml:space="preserve">m điều chỉnh cộng (+) biên độ %/năm, nhưng không thấp hơn sàn lãi suất cho vay theo quy định của Agribank tại thời điểm điều chỉnh.</w:t>
      </w:r>
      <w:r/>
    </w:p>
    <w:p w14:paraId="40D9436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Lãi suất cho vay được áp dụng theo từng lần nhận nợ. Mức lãi suất cho vay tại thời điểm thẩm định là: </w:t>
      </w:r>
      <w:r>
        <w:rPr>
          <w:rFonts w:ascii="Times New Roman" w:hAnsi="Times New Roman" w:eastAsia="Times New Roman" w:cs="Times New Roman"/>
          <w:color w:val="000000"/>
          <w:sz w:val="26"/>
        </w:rPr>
        <w:t xml:space="preserve">8</w:t>
      </w:r>
      <w:r>
        <w:rPr>
          <w:rFonts w:ascii="Times New Roman" w:hAnsi="Times New Roman" w:eastAsia="Times New Roman" w:cs="Times New Roman"/>
          <w:color w:val="000000"/>
          <w:sz w:val="26"/>
        </w:rPr>
        <w:t xml:space="preserve">%/năm.</w:t>
      </w:r>
      <w:r/>
    </w:p>
    <w:p w14:paraId="6FC531FC">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áp dụng với dư nợ gốc bị quá hạn: bằng 150% lãi suất cho vay trong hạn tại thời điểm chuyển nợ quá hạn.</w:t>
      </w:r>
      <w:r/>
    </w:p>
    <w:p w14:paraId="45B94BD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áp dụng đối với lãi chậm trả: 10%/năm tính trên số dư lãi chậm trả tương ứng với thời gian chậm trả.</w:t>
      </w:r>
      <w:r/>
    </w:p>
    <w:p w14:paraId="421213D0">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Cho vay có bảo đảm 100% bằng tài sản bảo đảm.</w:t>
      </w: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gridSpan w:val="2"/>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9854"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21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14:paraId="59CB468E">
      <w:pPr>
        <w:pBdr/>
        <w:tabs>
          <w:tab w:val="center" w:leader="none" w:pos="7200"/>
        </w:tabs>
        <w:spacing w:line="288" w:lineRule="auto"/>
        <w:ind/>
        <w:jc w:val="both"/>
        <w:rPr>
          <w:sz w:val="28"/>
          <w:szCs w:val="28"/>
        </w:rPr>
      </w:pPr>
      <w:r>
        <w:rPr>
          <w:bCs/>
          <w:sz w:val="28"/>
          <w:szCs w:val="28"/>
        </w:rPr>
      </w:r>
      <w:r>
        <w:rPr>
          <w:sz w:val="28"/>
          <w:szCs w:val="28"/>
        </w:rPr>
      </w:r>
      <w:r>
        <w:rPr>
          <w:sz w:val="28"/>
          <w:szCs w:val="28"/>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33</cp:revision>
  <dcterms:created xsi:type="dcterms:W3CDTF">2023-09-30T14:06:00Z</dcterms:created>
  <dcterms:modified xsi:type="dcterms:W3CDTF">2026-03-08T14:35:32Z</dcterms:modified>
</cp:coreProperties>
</file>