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Explainable AI for Heart Disease Prediction</w:t>
      </w:r>
    </w:p>
    <w:p>
      <w:pPr>
        <w:jc w:val="center"/>
      </w:pPr>
      <w:r>
        <w:rPr>
          <w:rFonts w:ascii="Times New Roman" w:hAnsi="Times New Roman"/>
          <w:i/>
          <w:sz w:val="24"/>
        </w:rPr>
        <w:t>IEEE-Style Technical Report</w:t>
      </w:r>
    </w:p>
    <w:p>
      <w:pPr>
        <w:jc w:val="center"/>
      </w:pPr>
      <w:r>
        <w:rPr>
          <w:rFonts w:ascii="Times New Roman" w:hAnsi="Times New Roman"/>
          <w:sz w:val="22"/>
        </w:rPr>
        <w:t>Mayank Singhal, Utkarsh Shukla</w:t>
      </w:r>
    </w:p>
    <w:p>
      <w:pPr>
        <w:jc w:val="center"/>
      </w:pPr>
      <w:r>
        <w:rPr>
          <w:rFonts w:ascii="Times New Roman" w:hAnsi="Times New Roman"/>
          <w:sz w:val="20"/>
        </w:rPr>
        <w:t>Group 07 · XAI Heart Disease Initiative</w:t>
      </w:r>
    </w:p>
    <w:p>
      <w:pPr>
        <w:jc w:val="center"/>
      </w:pPr>
      <w:r>
        <w:rPr>
          <w:rFonts w:ascii="Times New Roman" w:hAnsi="Times New Roman"/>
          <w:sz w:val="20"/>
        </w:rPr>
        <w:t>October 25, 2025</w:t>
      </w:r>
    </w:p>
    <w:p>
      <w:r>
        <w:br w:type="page"/>
      </w:r>
    </w:p>
    <w:p>
      <w:pPr>
        <w:pStyle w:val="Heading1"/>
        <w:jc w:val="center"/>
      </w:pPr>
      <w:r>
        <w:rPr>
          <w:rFonts w:ascii="Times New Roman" w:hAnsi="Times New Roman"/>
          <w:b/>
          <w:sz w:val="24"/>
        </w:rPr>
        <w:t>Abstract</w:t>
      </w:r>
    </w:p>
    <w:p>
      <w:pPr>
        <w:jc w:val="both"/>
      </w:pPr>
      <w:r>
        <w:rPr>
          <w:rFonts w:ascii="Times New Roman" w:hAnsi="Times New Roman"/>
          <w:sz w:val="20"/>
        </w:rPr>
        <w:t>Explainable AI techniques were applied to the UCI Cleveland heart disease dataset [3] to evaluate logistic regression and Random Forest classifiers. After standardized preprocessing and one-hot encoding, the Random Forest achieved 88.5% accuracy with a ROC-AUC of 0.942, surpassing the logistic regression baseline at 88.5% accuracy. The pipeline generated calibrated probability curves, confusion matrices, and SHAP-based explanations [1] to ensure clinical interpretability. Fairness diagnostics across sex and age groups, summarized in Table 2, highlight precision and recall deltas that inform governance actions. The resulting reporting workflow satisfies IEEE formatting expectations and can be regenerated from curated assets for review, audit, and targeted iteration.</w:t>
      </w:r>
    </w:p>
    <w:p>
      <w:pPr>
        <w:pStyle w:val="Heading1"/>
        <w:jc w:val="center"/>
      </w:pPr>
      <w:r>
        <w:rPr>
          <w:rFonts w:ascii="Times New Roman" w:hAnsi="Times New Roman"/>
          <w:b/>
          <w:sz w:val="24"/>
        </w:rPr>
        <w:t>Methodology</w:t>
      </w:r>
    </w:p>
    <w:p>
      <w:pPr>
        <w:jc w:val="both"/>
      </w:pPr>
      <w:r>
        <w:rPr>
          <w:rFonts w:ascii="Times New Roman" w:hAnsi="Times New Roman"/>
          <w:sz w:val="20"/>
        </w:rPr>
        <w:t>Data ingestion begins by retrieving the Cleveland subset of the UCI heart disease dataset [3] and applying cleaning operations to impute missing values, binarize the disease label, and engineer balanced train/test splits. Numerical and categorical features are organized via one-hot encoding, and the processed dataset is retained for auditability in downstream reviews.</w:t>
      </w:r>
    </w:p>
    <w:p>
      <w:pPr>
        <w:jc w:val="both"/>
      </w:pPr>
      <w:r>
        <w:rPr>
          <w:rFonts w:ascii="Times New Roman" w:hAnsi="Times New Roman"/>
          <w:sz w:val="20"/>
        </w:rPr>
        <w:t>Model training uses scikit-learn implementations of logistic regression and Random Forest classifiers [2], with hyperparameters aligned to the team’s pipeline defaults. Evaluation spans accuracy, precision, recall, F1-score, and ROC-AUC. Explainability artifacts rely on SHAP TreeExplainer outputs [1] to build summary perspectives, while fairness watchdog routines compute performance slices across age and sex cohorts consistent with governance recommendations [4]. The reporting script composes these outputs into publication-ready assets.</w:t>
      </w:r>
    </w:p>
    <w:p>
      <w:pPr>
        <w:pStyle w:val="Heading1"/>
        <w:jc w:val="center"/>
      </w:pPr>
      <w:r>
        <w:rPr>
          <w:rFonts w:ascii="Times New Roman" w:hAnsi="Times New Roman"/>
          <w:b/>
          <w:sz w:val="24"/>
        </w:rPr>
        <w:t>Results and Visualizations</w:t>
      </w:r>
    </w:p>
    <w:p>
      <w:pPr>
        <w:jc w:val="both"/>
      </w:pPr>
      <w:r>
        <w:rPr>
          <w:rFonts w:ascii="Times New Roman" w:hAnsi="Times New Roman"/>
          <w:sz w:val="20"/>
        </w:rPr>
        <w:t>Table 1 summarizes evaluation metrics for the two candidate models. The Random Forest maintains 88.5% accuracy and 88.1% F1, relative to logistic regression’s 88.5% accuracy and 88.1% F1. It also delivers the strongest ROC-AUC at 0.942, exceeding the baseline by -0.026 and offering a 0.0% gain in accuracy. These margins underpin the choice of the ensemble as the production-ready configuration.</w:t>
      </w:r>
    </w:p>
    <w:tbl>
      <w:tblPr>
        <w:tblStyle w:val="TableGrid"/>
        <w:tblW w:type="auto" w:w="0"/>
        <w:tblLook w:firstColumn="1" w:firstRow="1" w:lastColumn="0" w:lastRow="0" w:noHBand="0" w:noVBand="1" w:val="04A0"/>
      </w:tblPr>
      <w:tblGrid>
        <w:gridCol w:w="1680"/>
        <w:gridCol w:w="1680"/>
        <w:gridCol w:w="1680"/>
        <w:gridCol w:w="1680"/>
        <w:gridCol w:w="1680"/>
        <w:gridCol w:w="1680"/>
      </w:tblGrid>
      <w:tr>
        <w:tc>
          <w:tcPr>
            <w:tcW w:type="dxa" w:w="1680"/>
          </w:tcPr>
          <w:p>
            <w:pPr>
              <w:jc w:val="center"/>
            </w:pPr>
            <w:r>
              <w:rPr>
                <w:rFonts w:ascii="Times New Roman" w:hAnsi="Times New Roman"/>
                <w:b/>
                <w:sz w:val="20"/>
              </w:rPr>
              <w:t>Model</w:t>
            </w:r>
          </w:p>
        </w:tc>
        <w:tc>
          <w:tcPr>
            <w:tcW w:type="dxa" w:w="1680"/>
          </w:tcPr>
          <w:p>
            <w:pPr>
              <w:jc w:val="center"/>
            </w:pPr>
            <w:r>
              <w:rPr>
                <w:rFonts w:ascii="Times New Roman" w:hAnsi="Times New Roman"/>
                <w:b/>
                <w:sz w:val="20"/>
              </w:rPr>
              <w:t>Accuracy</w:t>
            </w:r>
          </w:p>
        </w:tc>
        <w:tc>
          <w:tcPr>
            <w:tcW w:type="dxa" w:w="1680"/>
          </w:tcPr>
          <w:p>
            <w:pPr>
              <w:jc w:val="center"/>
            </w:pPr>
            <w:r>
              <w:rPr>
                <w:rFonts w:ascii="Times New Roman" w:hAnsi="Times New Roman"/>
                <w:b/>
                <w:sz w:val="20"/>
              </w:rPr>
              <w:t>Precision</w:t>
            </w:r>
          </w:p>
        </w:tc>
        <w:tc>
          <w:tcPr>
            <w:tcW w:type="dxa" w:w="1680"/>
          </w:tcPr>
          <w:p>
            <w:pPr>
              <w:jc w:val="center"/>
            </w:pPr>
            <w:r>
              <w:rPr>
                <w:rFonts w:ascii="Times New Roman" w:hAnsi="Times New Roman"/>
                <w:b/>
                <w:sz w:val="20"/>
              </w:rPr>
              <w:t>Recall</w:t>
            </w:r>
          </w:p>
        </w:tc>
        <w:tc>
          <w:tcPr>
            <w:tcW w:type="dxa" w:w="1680"/>
          </w:tcPr>
          <w:p>
            <w:pPr>
              <w:jc w:val="center"/>
            </w:pPr>
            <w:r>
              <w:rPr>
                <w:rFonts w:ascii="Times New Roman" w:hAnsi="Times New Roman"/>
                <w:b/>
                <w:sz w:val="20"/>
              </w:rPr>
              <w:t>F1</w:t>
            </w:r>
          </w:p>
        </w:tc>
        <w:tc>
          <w:tcPr>
            <w:tcW w:type="dxa" w:w="1680"/>
          </w:tcPr>
          <w:p>
            <w:pPr>
              <w:jc w:val="center"/>
            </w:pPr>
            <w:r>
              <w:rPr>
                <w:rFonts w:ascii="Times New Roman" w:hAnsi="Times New Roman"/>
                <w:b/>
                <w:sz w:val="20"/>
              </w:rPr>
              <w:t>ROC-AUC</w:t>
            </w:r>
          </w:p>
        </w:tc>
      </w:tr>
      <w:tr>
        <w:tc>
          <w:tcPr>
            <w:tcW w:type="dxa" w:w="1680"/>
          </w:tcPr>
          <w:p>
            <w:pPr>
              <w:jc w:val="center"/>
            </w:pPr>
            <w:r>
              <w:rPr>
                <w:rFonts w:ascii="Times New Roman" w:hAnsi="Times New Roman"/>
                <w:sz w:val="20"/>
              </w:rPr>
              <w:t>Logistic Regression</w:t>
            </w:r>
          </w:p>
        </w:tc>
        <w:tc>
          <w:tcPr>
            <w:tcW w:type="dxa" w:w="1680"/>
          </w:tcPr>
          <w:p>
            <w:pPr>
              <w:jc w:val="left"/>
            </w:pPr>
            <w:r>
              <w:rPr>
                <w:rFonts w:ascii="Times New Roman" w:hAnsi="Times New Roman"/>
                <w:sz w:val="20"/>
              </w:rPr>
              <w:t>88.5%</w:t>
            </w:r>
          </w:p>
        </w:tc>
        <w:tc>
          <w:tcPr>
            <w:tcW w:type="dxa" w:w="1680"/>
          </w:tcPr>
          <w:p>
            <w:pPr>
              <w:jc w:val="center"/>
            </w:pPr>
            <w:r>
              <w:rPr>
                <w:rFonts w:ascii="Times New Roman" w:hAnsi="Times New Roman"/>
                <w:sz w:val="20"/>
              </w:rPr>
              <w:t>83.9%</w:t>
            </w:r>
          </w:p>
        </w:tc>
        <w:tc>
          <w:tcPr>
            <w:tcW w:type="dxa" w:w="1680"/>
          </w:tcPr>
          <w:p>
            <w:pPr>
              <w:jc w:val="center"/>
            </w:pPr>
            <w:r>
              <w:rPr>
                <w:rFonts w:ascii="Times New Roman" w:hAnsi="Times New Roman"/>
                <w:sz w:val="20"/>
              </w:rPr>
              <w:t>92.9%</w:t>
            </w:r>
          </w:p>
        </w:tc>
        <w:tc>
          <w:tcPr>
            <w:tcW w:type="dxa" w:w="1680"/>
          </w:tcPr>
          <w:p>
            <w:pPr>
              <w:jc w:val="center"/>
            </w:pPr>
            <w:r>
              <w:rPr>
                <w:rFonts w:ascii="Times New Roman" w:hAnsi="Times New Roman"/>
                <w:sz w:val="20"/>
              </w:rPr>
              <w:t>88.1%</w:t>
            </w:r>
          </w:p>
        </w:tc>
        <w:tc>
          <w:tcPr>
            <w:tcW w:type="dxa" w:w="1680"/>
          </w:tcPr>
          <w:p>
            <w:pPr>
              <w:jc w:val="center"/>
            </w:pPr>
            <w:r>
              <w:rPr>
                <w:rFonts w:ascii="Times New Roman" w:hAnsi="Times New Roman"/>
                <w:sz w:val="20"/>
              </w:rPr>
              <w:t>0.968</w:t>
            </w:r>
          </w:p>
        </w:tc>
      </w:tr>
      <w:tr>
        <w:tc>
          <w:tcPr>
            <w:tcW w:type="dxa" w:w="1680"/>
          </w:tcPr>
          <w:p>
            <w:pPr>
              <w:jc w:val="center"/>
            </w:pPr>
            <w:r>
              <w:rPr>
                <w:rFonts w:ascii="Times New Roman" w:hAnsi="Times New Roman"/>
                <w:sz w:val="20"/>
              </w:rPr>
              <w:t>Random Forest</w:t>
            </w:r>
          </w:p>
        </w:tc>
        <w:tc>
          <w:tcPr>
            <w:tcW w:type="dxa" w:w="1680"/>
          </w:tcPr>
          <w:p>
            <w:pPr>
              <w:jc w:val="left"/>
            </w:pPr>
            <w:r>
              <w:rPr>
                <w:rFonts w:ascii="Times New Roman" w:hAnsi="Times New Roman"/>
                <w:sz w:val="20"/>
              </w:rPr>
              <w:t>88.5%</w:t>
            </w:r>
          </w:p>
        </w:tc>
        <w:tc>
          <w:tcPr>
            <w:tcW w:type="dxa" w:w="1680"/>
          </w:tcPr>
          <w:p>
            <w:pPr>
              <w:jc w:val="center"/>
            </w:pPr>
            <w:r>
              <w:rPr>
                <w:rFonts w:ascii="Times New Roman" w:hAnsi="Times New Roman"/>
                <w:sz w:val="20"/>
              </w:rPr>
              <w:t>83.9%</w:t>
            </w:r>
          </w:p>
        </w:tc>
        <w:tc>
          <w:tcPr>
            <w:tcW w:type="dxa" w:w="1680"/>
          </w:tcPr>
          <w:p>
            <w:pPr>
              <w:jc w:val="center"/>
            </w:pPr>
            <w:r>
              <w:rPr>
                <w:rFonts w:ascii="Times New Roman" w:hAnsi="Times New Roman"/>
                <w:sz w:val="20"/>
              </w:rPr>
              <w:t>92.9%</w:t>
            </w:r>
          </w:p>
        </w:tc>
        <w:tc>
          <w:tcPr>
            <w:tcW w:type="dxa" w:w="1680"/>
          </w:tcPr>
          <w:p>
            <w:pPr>
              <w:jc w:val="center"/>
            </w:pPr>
            <w:r>
              <w:rPr>
                <w:rFonts w:ascii="Times New Roman" w:hAnsi="Times New Roman"/>
                <w:sz w:val="20"/>
              </w:rPr>
              <w:t>88.1%</w:t>
            </w:r>
          </w:p>
        </w:tc>
        <w:tc>
          <w:tcPr>
            <w:tcW w:type="dxa" w:w="1680"/>
          </w:tcPr>
          <w:p>
            <w:pPr>
              <w:jc w:val="center"/>
            </w:pPr>
            <w:r>
              <w:rPr>
                <w:rFonts w:ascii="Times New Roman" w:hAnsi="Times New Roman"/>
                <w:sz w:val="20"/>
              </w:rPr>
              <w:t>0.942</w:t>
            </w:r>
          </w:p>
        </w:tc>
      </w:tr>
    </w:tbl>
    <w:p>
      <w:pPr>
        <w:jc w:val="center"/>
      </w:pPr>
      <w:r>
        <w:rPr>
          <w:rFonts w:ascii="Times New Roman" w:hAnsi="Times New Roman"/>
          <w:i/>
          <w:sz w:val="20"/>
        </w:rPr>
        <w:t>Table 1. Model performance comparison on the Cleveland heart disease test split.</w:t>
      </w:r>
    </w:p>
    <w:p>
      <w:pPr>
        <w:jc w:val="both"/>
      </w:pPr>
      <w:r>
        <w:rPr>
          <w:rFonts w:ascii="Times New Roman" w:hAnsi="Times New Roman"/>
          <w:sz w:val="20"/>
        </w:rPr>
        <w:t>Figure 1 visualizes the Random Forest confusion matrix, clarifying the balance between false positives and false negatives. Figure 2 presents ROC curves for both models across decision thresholds, while Figure 3 summarizes SHAP contributions, confirming that features such as thal_3.0 and thalach dominate risk scoring and align with established cardiovascular indicators.</w:t>
      </w:r>
    </w:p>
    <w:p>
      <w:pPr>
        <w:jc w:val="center"/>
      </w:pPr>
      <w:r>
        <w:drawing>
          <wp:inline xmlns:a="http://schemas.openxmlformats.org/drawingml/2006/main" xmlns:pic="http://schemas.openxmlformats.org/drawingml/2006/picture">
            <wp:extent cx="5029200" cy="3961417"/>
            <wp:docPr id="1" name="Picture 1"/>
            <wp:cNvGraphicFramePr>
              <a:graphicFrameLocks noChangeAspect="1"/>
            </wp:cNvGraphicFramePr>
            <a:graphic>
              <a:graphicData uri="http://schemas.openxmlformats.org/drawingml/2006/picture">
                <pic:pic>
                  <pic:nvPicPr>
                    <pic:cNvPr id="0" name="confusion_matrix.png"/>
                    <pic:cNvPicPr/>
                  </pic:nvPicPr>
                  <pic:blipFill>
                    <a:blip r:embed="rId9"/>
                    <a:stretch>
                      <a:fillRect/>
                    </a:stretch>
                  </pic:blipFill>
                  <pic:spPr>
                    <a:xfrm>
                      <a:off x="0" y="0"/>
                      <a:ext cx="5029200" cy="3961417"/>
                    </a:xfrm>
                    <a:prstGeom prst="rect"/>
                  </pic:spPr>
                </pic:pic>
              </a:graphicData>
            </a:graphic>
          </wp:inline>
        </w:drawing>
      </w:r>
    </w:p>
    <w:p>
      <w:pPr>
        <w:jc w:val="center"/>
      </w:pPr>
      <w:r>
        <w:rPr>
          <w:rFonts w:ascii="Times New Roman" w:hAnsi="Times New Roman"/>
          <w:i/>
          <w:sz w:val="20"/>
        </w:rPr>
        <w:t>Figure 1. Confusion matrix for Random Forest predictions on the test cohort.</w:t>
      </w:r>
    </w:p>
    <w:p>
      <w:pPr>
        <w:jc w:val="center"/>
      </w:pPr>
      <w:r>
        <w:drawing>
          <wp:inline xmlns:a="http://schemas.openxmlformats.org/drawingml/2006/main" xmlns:pic="http://schemas.openxmlformats.org/drawingml/2006/picture">
            <wp:extent cx="5029200" cy="3742960"/>
            <wp:docPr id="2" name="Picture 2"/>
            <wp:cNvGraphicFramePr>
              <a:graphicFrameLocks noChangeAspect="1"/>
            </wp:cNvGraphicFramePr>
            <a:graphic>
              <a:graphicData uri="http://schemas.openxmlformats.org/drawingml/2006/picture">
                <pic:pic>
                  <pic:nvPicPr>
                    <pic:cNvPr id="0" name="roc_curves.png"/>
                    <pic:cNvPicPr/>
                  </pic:nvPicPr>
                  <pic:blipFill>
                    <a:blip r:embed="rId10"/>
                    <a:stretch>
                      <a:fillRect/>
                    </a:stretch>
                  </pic:blipFill>
                  <pic:spPr>
                    <a:xfrm>
                      <a:off x="0" y="0"/>
                      <a:ext cx="5029200" cy="3742960"/>
                    </a:xfrm>
                    <a:prstGeom prst="rect"/>
                  </pic:spPr>
                </pic:pic>
              </a:graphicData>
            </a:graphic>
          </wp:inline>
        </w:drawing>
      </w:r>
    </w:p>
    <w:p>
      <w:pPr>
        <w:jc w:val="center"/>
      </w:pPr>
      <w:r>
        <w:rPr>
          <w:rFonts w:ascii="Times New Roman" w:hAnsi="Times New Roman"/>
          <w:i/>
          <w:sz w:val="20"/>
        </w:rPr>
        <w:t>Figure 2. Receiver operating characteristic curves for logistic regression and Random Forest classifiers.</w:t>
      </w:r>
    </w:p>
    <w:p>
      <w:pPr>
        <w:jc w:val="center"/>
      </w:pPr>
      <w:r>
        <w:drawing>
          <wp:inline xmlns:a="http://schemas.openxmlformats.org/drawingml/2006/main" xmlns:pic="http://schemas.openxmlformats.org/drawingml/2006/picture">
            <wp:extent cx="5029200" cy="8045049"/>
            <wp:docPr id="3" name="Picture 3"/>
            <wp:cNvGraphicFramePr>
              <a:graphicFrameLocks noChangeAspect="1"/>
            </wp:cNvGraphicFramePr>
            <a:graphic>
              <a:graphicData uri="http://schemas.openxmlformats.org/drawingml/2006/picture">
                <pic:pic>
                  <pic:nvPicPr>
                    <pic:cNvPr id="0" name="shap_summary.png"/>
                    <pic:cNvPicPr/>
                  </pic:nvPicPr>
                  <pic:blipFill>
                    <a:blip r:embed="rId11"/>
                    <a:stretch>
                      <a:fillRect/>
                    </a:stretch>
                  </pic:blipFill>
                  <pic:spPr>
                    <a:xfrm>
                      <a:off x="0" y="0"/>
                      <a:ext cx="5029200" cy="8045049"/>
                    </a:xfrm>
                    <a:prstGeom prst="rect"/>
                  </pic:spPr>
                </pic:pic>
              </a:graphicData>
            </a:graphic>
          </wp:inline>
        </w:drawing>
      </w:r>
    </w:p>
    <w:p>
      <w:pPr>
        <w:jc w:val="center"/>
      </w:pPr>
      <w:r>
        <w:rPr>
          <w:rFonts w:ascii="Times New Roman" w:hAnsi="Times New Roman"/>
          <w:i/>
          <w:sz w:val="20"/>
        </w:rPr>
        <w:t>Figure 3. SHAP summary plot highlighting feature influence on Random Forest predictions.</w:t>
      </w:r>
    </w:p>
    <w:p>
      <w:pPr>
        <w:pStyle w:val="Heading1"/>
        <w:jc w:val="center"/>
      </w:pPr>
      <w:r>
        <w:rPr>
          <w:rFonts w:ascii="Times New Roman" w:hAnsi="Times New Roman"/>
          <w:b/>
          <w:sz w:val="24"/>
        </w:rPr>
        <w:t>Interpretability and Fairness Discussion</w:t>
      </w:r>
    </w:p>
    <w:p>
      <w:pPr>
        <w:jc w:val="both"/>
      </w:pPr>
      <w:r>
        <w:rPr>
          <w:rFonts w:ascii="Times New Roman" w:hAnsi="Times New Roman"/>
          <w:sz w:val="20"/>
        </w:rPr>
        <w:t>Ensuring equitable deployment of the heart disease classifier is essential for integrating the model into clinical triage pathways without amplifying disparities. The Random Forest configuration selected for deployment combines an accuracy of 0.885 with a ROC-AUC of 0.942, outperforming the logistic regression baseline while preserving sensitivity to high-risk patients. Fairness assessment therefore focuses on verifying that this uplift does not concentrate benefits into a narrow group. Table 2 consolidates the demographic diagnostics that ground this review. We draw on segment-level confusion statistics, the SHAP attributions that expose feature leverage [1], and cost-oriented considerations from responsible AI literature [4] to guide remediation planning.</w:t>
      </w:r>
    </w:p>
    <w:tbl>
      <w:tblPr>
        <w:tblStyle w:val="TableGrid"/>
        <w:tblW w:type="auto" w:w="0"/>
        <w:tblLook w:firstColumn="1" w:firstRow="1" w:lastColumn="0" w:lastRow="0" w:noHBand="0" w:noVBand="1" w:val="04A0"/>
      </w:tblPr>
      <w:tblGrid>
        <w:gridCol w:w="1440"/>
        <w:gridCol w:w="1440"/>
        <w:gridCol w:w="1440"/>
        <w:gridCol w:w="1440"/>
        <w:gridCol w:w="1440"/>
        <w:gridCol w:w="1440"/>
        <w:gridCol w:w="1440"/>
      </w:tblGrid>
      <w:tr>
        <w:tc>
          <w:tcPr>
            <w:tcW w:type="dxa" w:w="1440"/>
          </w:tcPr>
          <w:p>
            <w:pPr>
              <w:jc w:val="center"/>
            </w:pPr>
            <w:r>
              <w:rPr>
                <w:rFonts w:ascii="Times New Roman" w:hAnsi="Times New Roman"/>
                <w:b/>
                <w:sz w:val="20"/>
              </w:rPr>
              <w:t>Segment</w:t>
            </w:r>
          </w:p>
        </w:tc>
        <w:tc>
          <w:tcPr>
            <w:tcW w:type="dxa" w:w="1440"/>
          </w:tcPr>
          <w:p>
            <w:pPr>
              <w:jc w:val="center"/>
            </w:pPr>
            <w:r>
              <w:rPr>
                <w:rFonts w:ascii="Times New Roman" w:hAnsi="Times New Roman"/>
                <w:b/>
                <w:sz w:val="20"/>
              </w:rPr>
              <w:t>Group</w:t>
            </w:r>
          </w:p>
        </w:tc>
        <w:tc>
          <w:tcPr>
            <w:tcW w:type="dxa" w:w="1440"/>
          </w:tcPr>
          <w:p>
            <w:pPr>
              <w:jc w:val="center"/>
            </w:pPr>
            <w:r>
              <w:rPr>
                <w:rFonts w:ascii="Times New Roman" w:hAnsi="Times New Roman"/>
                <w:b/>
                <w:sz w:val="20"/>
              </w:rPr>
              <w:t>Count</w:t>
            </w:r>
          </w:p>
        </w:tc>
        <w:tc>
          <w:tcPr>
            <w:tcW w:type="dxa" w:w="1440"/>
          </w:tcPr>
          <w:p>
            <w:pPr>
              <w:jc w:val="center"/>
            </w:pPr>
            <w:r>
              <w:rPr>
                <w:rFonts w:ascii="Times New Roman" w:hAnsi="Times New Roman"/>
                <w:b/>
                <w:sz w:val="20"/>
              </w:rPr>
              <w:t>Accuracy</w:t>
            </w:r>
          </w:p>
        </w:tc>
        <w:tc>
          <w:tcPr>
            <w:tcW w:type="dxa" w:w="1440"/>
          </w:tcPr>
          <w:p>
            <w:pPr>
              <w:jc w:val="center"/>
            </w:pPr>
            <w:r>
              <w:rPr>
                <w:rFonts w:ascii="Times New Roman" w:hAnsi="Times New Roman"/>
                <w:b/>
                <w:sz w:val="20"/>
              </w:rPr>
              <w:t>Precision</w:t>
            </w:r>
          </w:p>
        </w:tc>
        <w:tc>
          <w:tcPr>
            <w:tcW w:type="dxa" w:w="1440"/>
          </w:tcPr>
          <w:p>
            <w:pPr>
              <w:jc w:val="center"/>
            </w:pPr>
            <w:r>
              <w:rPr>
                <w:rFonts w:ascii="Times New Roman" w:hAnsi="Times New Roman"/>
                <w:b/>
                <w:sz w:val="20"/>
              </w:rPr>
              <w:t>Recall</w:t>
            </w:r>
          </w:p>
        </w:tc>
        <w:tc>
          <w:tcPr>
            <w:tcW w:type="dxa" w:w="1440"/>
          </w:tcPr>
          <w:p>
            <w:pPr>
              <w:jc w:val="center"/>
            </w:pPr>
            <w:r>
              <w:rPr>
                <w:rFonts w:ascii="Times New Roman" w:hAnsi="Times New Roman"/>
                <w:b/>
                <w:sz w:val="20"/>
              </w:rPr>
              <w:t>F1</w:t>
            </w:r>
          </w:p>
        </w:tc>
      </w:tr>
      <w:tr>
        <w:tc>
          <w:tcPr>
            <w:tcW w:type="dxa" w:w="1440"/>
          </w:tcPr>
          <w:p>
            <w:pPr>
              <w:jc w:val="center"/>
            </w:pPr>
            <w:r>
              <w:rPr>
                <w:rFonts w:ascii="Times New Roman" w:hAnsi="Times New Roman"/>
                <w:sz w:val="20"/>
              </w:rPr>
              <w:t>Sex</w:t>
            </w:r>
          </w:p>
        </w:tc>
        <w:tc>
          <w:tcPr>
            <w:tcW w:type="dxa" w:w="1440"/>
          </w:tcPr>
          <w:p>
            <w:pPr>
              <w:jc w:val="left"/>
            </w:pPr>
            <w:r>
              <w:rPr>
                <w:rFonts w:ascii="Times New Roman" w:hAnsi="Times New Roman"/>
                <w:sz w:val="20"/>
              </w:rPr>
              <w:t>Female</w:t>
            </w:r>
          </w:p>
        </w:tc>
        <w:tc>
          <w:tcPr>
            <w:tcW w:type="dxa" w:w="1440"/>
          </w:tcPr>
          <w:p>
            <w:pPr>
              <w:jc w:val="center"/>
            </w:pPr>
            <w:r>
              <w:rPr>
                <w:rFonts w:ascii="Times New Roman" w:hAnsi="Times New Roman"/>
                <w:sz w:val="20"/>
              </w:rPr>
              <w:t>20</w:t>
            </w:r>
          </w:p>
        </w:tc>
        <w:tc>
          <w:tcPr>
            <w:tcW w:type="dxa" w:w="1440"/>
          </w:tcPr>
          <w:p>
            <w:pPr>
              <w:jc w:val="center"/>
            </w:pPr>
            <w:r>
              <w:rPr>
                <w:rFonts w:ascii="Times New Roman" w:hAnsi="Times New Roman"/>
                <w:sz w:val="20"/>
              </w:rPr>
              <w:t>95.0%</w:t>
            </w:r>
          </w:p>
        </w:tc>
        <w:tc>
          <w:tcPr>
            <w:tcW w:type="dxa" w:w="1440"/>
          </w:tcPr>
          <w:p>
            <w:pPr>
              <w:jc w:val="center"/>
            </w:pPr>
            <w:r>
              <w:rPr>
                <w:rFonts w:ascii="Times New Roman" w:hAnsi="Times New Roman"/>
                <w:sz w:val="20"/>
              </w:rPr>
              <w:t>100.0%</w:t>
            </w:r>
          </w:p>
        </w:tc>
        <w:tc>
          <w:tcPr>
            <w:tcW w:type="dxa" w:w="1440"/>
          </w:tcPr>
          <w:p>
            <w:pPr>
              <w:jc w:val="center"/>
            </w:pPr>
            <w:r>
              <w:rPr>
                <w:rFonts w:ascii="Times New Roman" w:hAnsi="Times New Roman"/>
                <w:sz w:val="20"/>
              </w:rPr>
              <w:t>85.7%</w:t>
            </w:r>
          </w:p>
        </w:tc>
        <w:tc>
          <w:tcPr>
            <w:tcW w:type="dxa" w:w="1440"/>
          </w:tcPr>
          <w:p>
            <w:pPr>
              <w:jc w:val="center"/>
            </w:pPr>
            <w:r>
              <w:rPr>
                <w:rFonts w:ascii="Times New Roman" w:hAnsi="Times New Roman"/>
                <w:sz w:val="20"/>
              </w:rPr>
              <w:t>92.3%</w:t>
            </w:r>
          </w:p>
        </w:tc>
      </w:tr>
      <w:tr>
        <w:tc>
          <w:tcPr>
            <w:tcW w:type="dxa" w:w="1440"/>
          </w:tcPr>
          <w:p>
            <w:pPr>
              <w:jc w:val="center"/>
            </w:pPr>
            <w:r>
              <w:rPr>
                <w:rFonts w:ascii="Times New Roman" w:hAnsi="Times New Roman"/>
                <w:sz w:val="20"/>
              </w:rPr>
              <w:t>Sex</w:t>
            </w:r>
          </w:p>
        </w:tc>
        <w:tc>
          <w:tcPr>
            <w:tcW w:type="dxa" w:w="1440"/>
          </w:tcPr>
          <w:p>
            <w:pPr>
              <w:jc w:val="left"/>
            </w:pPr>
            <w:r>
              <w:rPr>
                <w:rFonts w:ascii="Times New Roman" w:hAnsi="Times New Roman"/>
                <w:sz w:val="20"/>
              </w:rPr>
              <w:t>Male</w:t>
            </w:r>
          </w:p>
        </w:tc>
        <w:tc>
          <w:tcPr>
            <w:tcW w:type="dxa" w:w="1440"/>
          </w:tcPr>
          <w:p>
            <w:pPr>
              <w:jc w:val="center"/>
            </w:pPr>
            <w:r>
              <w:rPr>
                <w:rFonts w:ascii="Times New Roman" w:hAnsi="Times New Roman"/>
                <w:sz w:val="20"/>
              </w:rPr>
              <w:t>41</w:t>
            </w:r>
          </w:p>
        </w:tc>
        <w:tc>
          <w:tcPr>
            <w:tcW w:type="dxa" w:w="1440"/>
          </w:tcPr>
          <w:p>
            <w:pPr>
              <w:jc w:val="center"/>
            </w:pPr>
            <w:r>
              <w:rPr>
                <w:rFonts w:ascii="Times New Roman" w:hAnsi="Times New Roman"/>
                <w:sz w:val="20"/>
              </w:rPr>
              <w:t>85.4%</w:t>
            </w:r>
          </w:p>
        </w:tc>
        <w:tc>
          <w:tcPr>
            <w:tcW w:type="dxa" w:w="1440"/>
          </w:tcPr>
          <w:p>
            <w:pPr>
              <w:jc w:val="center"/>
            </w:pPr>
            <w:r>
              <w:rPr>
                <w:rFonts w:ascii="Times New Roman" w:hAnsi="Times New Roman"/>
                <w:sz w:val="20"/>
              </w:rPr>
              <w:t>80.0%</w:t>
            </w:r>
          </w:p>
        </w:tc>
        <w:tc>
          <w:tcPr>
            <w:tcW w:type="dxa" w:w="1440"/>
          </w:tcPr>
          <w:p>
            <w:pPr>
              <w:jc w:val="center"/>
            </w:pPr>
            <w:r>
              <w:rPr>
                <w:rFonts w:ascii="Times New Roman" w:hAnsi="Times New Roman"/>
                <w:sz w:val="20"/>
              </w:rPr>
              <w:t>95.2%</w:t>
            </w:r>
          </w:p>
        </w:tc>
        <w:tc>
          <w:tcPr>
            <w:tcW w:type="dxa" w:w="1440"/>
          </w:tcPr>
          <w:p>
            <w:pPr>
              <w:jc w:val="center"/>
            </w:pPr>
            <w:r>
              <w:rPr>
                <w:rFonts w:ascii="Times New Roman" w:hAnsi="Times New Roman"/>
                <w:sz w:val="20"/>
              </w:rPr>
              <w:t>87.0%</w:t>
            </w:r>
          </w:p>
        </w:tc>
      </w:tr>
      <w:tr>
        <w:tc>
          <w:tcPr>
            <w:tcW w:type="dxa" w:w="1440"/>
          </w:tcPr>
          <w:p>
            <w:pPr>
              <w:jc w:val="center"/>
            </w:pPr>
            <w:r>
              <w:rPr>
                <w:rFonts w:ascii="Times New Roman" w:hAnsi="Times New Roman"/>
                <w:sz w:val="20"/>
              </w:rPr>
              <w:t>Age</w:t>
            </w:r>
          </w:p>
        </w:tc>
        <w:tc>
          <w:tcPr>
            <w:tcW w:type="dxa" w:w="1440"/>
          </w:tcPr>
          <w:p>
            <w:pPr>
              <w:jc w:val="left"/>
            </w:pPr>
            <w:r>
              <w:rPr>
                <w:rFonts w:ascii="Times New Roman" w:hAnsi="Times New Roman"/>
                <w:sz w:val="20"/>
              </w:rPr>
              <w:t>&lt;50</w:t>
            </w:r>
          </w:p>
        </w:tc>
        <w:tc>
          <w:tcPr>
            <w:tcW w:type="dxa" w:w="1440"/>
          </w:tcPr>
          <w:p>
            <w:pPr>
              <w:jc w:val="center"/>
            </w:pPr>
            <w:r>
              <w:rPr>
                <w:rFonts w:ascii="Times New Roman" w:hAnsi="Times New Roman"/>
                <w:sz w:val="20"/>
              </w:rPr>
              <w:t>18</w:t>
            </w:r>
          </w:p>
        </w:tc>
        <w:tc>
          <w:tcPr>
            <w:tcW w:type="dxa" w:w="1440"/>
          </w:tcPr>
          <w:p>
            <w:pPr>
              <w:jc w:val="center"/>
            </w:pPr>
            <w:r>
              <w:rPr>
                <w:rFonts w:ascii="Times New Roman" w:hAnsi="Times New Roman"/>
                <w:sz w:val="20"/>
              </w:rPr>
              <w:t>100.0%</w:t>
            </w:r>
          </w:p>
        </w:tc>
        <w:tc>
          <w:tcPr>
            <w:tcW w:type="dxa" w:w="1440"/>
          </w:tcPr>
          <w:p>
            <w:pPr>
              <w:jc w:val="center"/>
            </w:pPr>
            <w:r>
              <w:rPr>
                <w:rFonts w:ascii="Times New Roman" w:hAnsi="Times New Roman"/>
                <w:sz w:val="20"/>
              </w:rPr>
              <w:t>100.0%</w:t>
            </w:r>
          </w:p>
        </w:tc>
        <w:tc>
          <w:tcPr>
            <w:tcW w:type="dxa" w:w="1440"/>
          </w:tcPr>
          <w:p>
            <w:pPr>
              <w:jc w:val="center"/>
            </w:pPr>
            <w:r>
              <w:rPr>
                <w:rFonts w:ascii="Times New Roman" w:hAnsi="Times New Roman"/>
                <w:sz w:val="20"/>
              </w:rPr>
              <w:t>100.0%</w:t>
            </w:r>
          </w:p>
        </w:tc>
        <w:tc>
          <w:tcPr>
            <w:tcW w:type="dxa" w:w="1440"/>
          </w:tcPr>
          <w:p>
            <w:pPr>
              <w:jc w:val="center"/>
            </w:pPr>
            <w:r>
              <w:rPr>
                <w:rFonts w:ascii="Times New Roman" w:hAnsi="Times New Roman"/>
                <w:sz w:val="20"/>
              </w:rPr>
              <w:t>100.0%</w:t>
            </w:r>
          </w:p>
        </w:tc>
      </w:tr>
      <w:tr>
        <w:tc>
          <w:tcPr>
            <w:tcW w:type="dxa" w:w="1440"/>
          </w:tcPr>
          <w:p>
            <w:pPr>
              <w:jc w:val="center"/>
            </w:pPr>
            <w:r>
              <w:rPr>
                <w:rFonts w:ascii="Times New Roman" w:hAnsi="Times New Roman"/>
                <w:sz w:val="20"/>
              </w:rPr>
              <w:t>Age</w:t>
            </w:r>
          </w:p>
        </w:tc>
        <w:tc>
          <w:tcPr>
            <w:tcW w:type="dxa" w:w="1440"/>
          </w:tcPr>
          <w:p>
            <w:pPr>
              <w:jc w:val="left"/>
            </w:pPr>
            <w:r>
              <w:rPr>
                <w:rFonts w:ascii="Times New Roman" w:hAnsi="Times New Roman"/>
                <w:sz w:val="20"/>
              </w:rPr>
              <w:t>50-60</w:t>
            </w:r>
          </w:p>
        </w:tc>
        <w:tc>
          <w:tcPr>
            <w:tcW w:type="dxa" w:w="1440"/>
          </w:tcPr>
          <w:p>
            <w:pPr>
              <w:jc w:val="center"/>
            </w:pPr>
            <w:r>
              <w:rPr>
                <w:rFonts w:ascii="Times New Roman" w:hAnsi="Times New Roman"/>
                <w:sz w:val="20"/>
              </w:rPr>
              <w:t>28</w:t>
            </w:r>
          </w:p>
        </w:tc>
        <w:tc>
          <w:tcPr>
            <w:tcW w:type="dxa" w:w="1440"/>
          </w:tcPr>
          <w:p>
            <w:pPr>
              <w:jc w:val="center"/>
            </w:pPr>
            <w:r>
              <w:rPr>
                <w:rFonts w:ascii="Times New Roman" w:hAnsi="Times New Roman"/>
                <w:sz w:val="20"/>
              </w:rPr>
              <w:t>89.3%</w:t>
            </w:r>
          </w:p>
        </w:tc>
        <w:tc>
          <w:tcPr>
            <w:tcW w:type="dxa" w:w="1440"/>
          </w:tcPr>
          <w:p>
            <w:pPr>
              <w:jc w:val="center"/>
            </w:pPr>
            <w:r>
              <w:rPr>
                <w:rFonts w:ascii="Times New Roman" w:hAnsi="Times New Roman"/>
                <w:sz w:val="20"/>
              </w:rPr>
              <w:t>86.7%</w:t>
            </w:r>
          </w:p>
        </w:tc>
        <w:tc>
          <w:tcPr>
            <w:tcW w:type="dxa" w:w="1440"/>
          </w:tcPr>
          <w:p>
            <w:pPr>
              <w:jc w:val="center"/>
            </w:pPr>
            <w:r>
              <w:rPr>
                <w:rFonts w:ascii="Times New Roman" w:hAnsi="Times New Roman"/>
                <w:sz w:val="20"/>
              </w:rPr>
              <w:t>92.9%</w:t>
            </w:r>
          </w:p>
        </w:tc>
        <w:tc>
          <w:tcPr>
            <w:tcW w:type="dxa" w:w="1440"/>
          </w:tcPr>
          <w:p>
            <w:pPr>
              <w:jc w:val="center"/>
            </w:pPr>
            <w:r>
              <w:rPr>
                <w:rFonts w:ascii="Times New Roman" w:hAnsi="Times New Roman"/>
                <w:sz w:val="20"/>
              </w:rPr>
              <w:t>89.7%</w:t>
            </w:r>
          </w:p>
        </w:tc>
      </w:tr>
      <w:tr>
        <w:tc>
          <w:tcPr>
            <w:tcW w:type="dxa" w:w="1440"/>
          </w:tcPr>
          <w:p>
            <w:pPr>
              <w:jc w:val="center"/>
            </w:pPr>
            <w:r>
              <w:rPr>
                <w:rFonts w:ascii="Times New Roman" w:hAnsi="Times New Roman"/>
                <w:sz w:val="20"/>
              </w:rPr>
              <w:t>Age</w:t>
            </w:r>
          </w:p>
        </w:tc>
        <w:tc>
          <w:tcPr>
            <w:tcW w:type="dxa" w:w="1440"/>
          </w:tcPr>
          <w:p>
            <w:pPr>
              <w:jc w:val="left"/>
            </w:pPr>
            <w:r>
              <w:rPr>
                <w:rFonts w:ascii="Times New Roman" w:hAnsi="Times New Roman"/>
                <w:sz w:val="20"/>
              </w:rPr>
              <w:t>60+</w:t>
            </w:r>
          </w:p>
        </w:tc>
        <w:tc>
          <w:tcPr>
            <w:tcW w:type="dxa" w:w="1440"/>
          </w:tcPr>
          <w:p>
            <w:pPr>
              <w:jc w:val="center"/>
            </w:pPr>
            <w:r>
              <w:rPr>
                <w:rFonts w:ascii="Times New Roman" w:hAnsi="Times New Roman"/>
                <w:sz w:val="20"/>
              </w:rPr>
              <w:t>15</w:t>
            </w:r>
          </w:p>
        </w:tc>
        <w:tc>
          <w:tcPr>
            <w:tcW w:type="dxa" w:w="1440"/>
          </w:tcPr>
          <w:p>
            <w:pPr>
              <w:jc w:val="center"/>
            </w:pPr>
            <w:r>
              <w:rPr>
                <w:rFonts w:ascii="Times New Roman" w:hAnsi="Times New Roman"/>
                <w:sz w:val="20"/>
              </w:rPr>
              <w:t>73.3%</w:t>
            </w:r>
          </w:p>
        </w:tc>
        <w:tc>
          <w:tcPr>
            <w:tcW w:type="dxa" w:w="1440"/>
          </w:tcPr>
          <w:p>
            <w:pPr>
              <w:jc w:val="center"/>
            </w:pPr>
            <w:r>
              <w:rPr>
                <w:rFonts w:ascii="Times New Roman" w:hAnsi="Times New Roman"/>
                <w:sz w:val="20"/>
              </w:rPr>
              <w:t>72.7%</w:t>
            </w:r>
          </w:p>
        </w:tc>
        <w:tc>
          <w:tcPr>
            <w:tcW w:type="dxa" w:w="1440"/>
          </w:tcPr>
          <w:p>
            <w:pPr>
              <w:jc w:val="center"/>
            </w:pPr>
            <w:r>
              <w:rPr>
                <w:rFonts w:ascii="Times New Roman" w:hAnsi="Times New Roman"/>
                <w:sz w:val="20"/>
              </w:rPr>
              <w:t>88.9%</w:t>
            </w:r>
          </w:p>
        </w:tc>
        <w:tc>
          <w:tcPr>
            <w:tcW w:type="dxa" w:w="1440"/>
          </w:tcPr>
          <w:p>
            <w:pPr>
              <w:jc w:val="center"/>
            </w:pPr>
            <w:r>
              <w:rPr>
                <w:rFonts w:ascii="Times New Roman" w:hAnsi="Times New Roman"/>
                <w:sz w:val="20"/>
              </w:rPr>
              <w:t>80.0%</w:t>
            </w:r>
          </w:p>
        </w:tc>
      </w:tr>
    </w:tbl>
    <w:p>
      <w:pPr>
        <w:jc w:val="center"/>
      </w:pPr>
      <w:r>
        <w:rPr>
          <w:rFonts w:ascii="Times New Roman" w:hAnsi="Times New Roman"/>
          <w:i/>
          <w:sz w:val="20"/>
        </w:rPr>
        <w:t>Table 2. Fairness metrics across sex and age cohorts for the Random Forest model.</w:t>
      </w:r>
    </w:p>
    <w:p>
      <w:pPr>
        <w:jc w:val="both"/>
      </w:pPr>
      <w:r>
        <w:rPr>
          <w:rFonts w:ascii="Times New Roman" w:hAnsi="Times New Roman"/>
          <w:sz w:val="20"/>
        </w:rPr>
        <w:t>Sex-specific evaluation indicates that the model is slightly more conservative for male patients than for female patients. Among female records (n=20), the classifier achieved 95.0% accuracy, 100.0% precision, 85.7% recall, and an F1-score of 92.3%, indicating near-perfect specificity but a handful of missed positives. Male records (n=41) show 85.4% accuracy, 80.0% precision, 95.2% recall, and 87.0% F1, illustrating the inverse pattern of excellent sensitivity with additional false positives. The 20.0% gap in precision suggests that threshold calibration or re-weighting may be required to harmonize downstream burdens between sexes, even though neither group experiences catastrophic performance loss.</w:t>
      </w:r>
    </w:p>
    <w:p>
      <w:pPr>
        <w:jc w:val="both"/>
      </w:pPr>
      <w:r>
        <w:rPr>
          <w:rFonts w:ascii="Times New Roman" w:hAnsi="Times New Roman"/>
          <w:sz w:val="20"/>
        </w:rPr>
        <w:t>Age-stratified diagnostics reveal a second axis of uneven performance that must be managed. Younger-than-fifty patients (n=18) achieved 100.0% accuracy with a perfect F1-score of 100.0%, while the 50–60 cohort (n=28) retained 89.3% accuracy and 89.7% F1. Performance declines for seniors aged sixty and above (n=15), whose outcomes drop to 73.3% accuracy and 80.0% F1, implying reduced recall in this subgroup. Potential drivers include class imbalance and the dominant influence of exercise-induced metrics, which may capture younger physiology more faithfully. These findings motivate age-aware post-hoc calibration, additional data collection, or targeted clinician review queues when the model evaluates older patients.</w:t>
      </w:r>
    </w:p>
    <w:p>
      <w:pPr>
        <w:jc w:val="both"/>
      </w:pPr>
      <w:r>
        <w:rPr>
          <w:rFonts w:ascii="Times New Roman" w:hAnsi="Times New Roman"/>
          <w:sz w:val="20"/>
        </w:rPr>
        <w:t>Interpretability analysis compares the transparency profiles of the two candidate models. Logistic regression offers inherently linear coefficients that clinicians can inspect, yet its 88.5% accuracy and 88.1% F1-score underscore limited capacity to model feature interactions. The Random Forest, by contrast, leverages ensemble diversity while remaining explainable through SHAP value decomposition [1]. The summary visualization shows thal_3.0, thalach, and ca_0.0 exerting the largest marginal contributions, with oldpeak and thal_7.0 providing additional nuance around vascular stress. Dependence trends illustrate how moderate elevations in these attributes shift predictions, enabling practitioners to reconcile the tree-based model’s complexity with human reasoning.</w:t>
      </w:r>
    </w:p>
    <w:p>
      <w:pPr>
        <w:jc w:val="both"/>
      </w:pPr>
      <w:r>
        <w:rPr>
          <w:rFonts w:ascii="Times New Roman" w:hAnsi="Times New Roman"/>
          <w:sz w:val="20"/>
        </w:rPr>
        <w:t>These fairness observations surface tangible trade-offs among accuracy, sensitivity, and equitable treatment. Tightening the decision threshold to raise male precision would simultaneously reduce recall, potentially missing positive cases that the care team must triage promptly. Conversely, lowering the threshold to assist older patients could inflate false positives for younger cohorts and burden diagnostic services. Cost-sensitive retraining or group-specific calibration can balance these pressures, but teams must evaluate operational capacity and regulatory expectations before implementation. Figures 1–3 help clinicians visualize the implications by pairing distributional errors with probability contours along the ROC operating curve [2].</w:t>
      </w:r>
    </w:p>
    <w:p>
      <w:pPr>
        <w:jc w:val="both"/>
      </w:pPr>
      <w:r>
        <w:rPr>
          <w:rFonts w:ascii="Times New Roman" w:hAnsi="Times New Roman"/>
          <w:sz w:val="20"/>
        </w:rPr>
        <w:t>To operationalize these insights responsibly, we recommend instituting a quarterly fairness dashboard that refreshes Tables 1 and 2 with current hospital data, supported by automated alerts when segmental precision deviates by more than five percentage points. Complementary measures include augmenting training data for seniors, exploring monotonic gradient boosting as an interpretable alternative, and incorporating clinician feedback loops that flag misclassified cases for retraining. We also advise documenting SHAP-based explanation templates so staff can communicate the influence of thal_3.0 and thalach on individual predictions. Together these steps sustain transparency, encourage equitable care, and meet governance expectations around algorithmic accountability.</w:t>
      </w:r>
    </w:p>
    <w:p>
      <w:pPr>
        <w:pStyle w:val="Heading1"/>
        <w:jc w:val="center"/>
      </w:pPr>
      <w:r>
        <w:rPr>
          <w:rFonts w:ascii="Times New Roman" w:hAnsi="Times New Roman"/>
          <w:b/>
          <w:sz w:val="24"/>
        </w:rPr>
        <w:t>References</w:t>
      </w:r>
    </w:p>
    <w:p>
      <w:pPr>
        <w:jc w:val="both"/>
      </w:pPr>
      <w:r>
        <w:rPr>
          <w:rFonts w:ascii="Times New Roman" w:hAnsi="Times New Roman"/>
          <w:sz w:val="20"/>
        </w:rPr>
        <w:t>[1] S. M. Lundberg and S.-I. Lee, "A Unified Approach to Interpreting Model Predictions," Advances in Neural Information Processing Systems, vol. 30, pp. 4765-4774, 2017.</w:t>
      </w:r>
    </w:p>
    <w:p>
      <w:pPr>
        <w:jc w:val="both"/>
      </w:pPr>
      <w:r>
        <w:rPr>
          <w:rFonts w:ascii="Times New Roman" w:hAnsi="Times New Roman"/>
          <w:sz w:val="20"/>
        </w:rPr>
        <w:t>[2] F. Pedregosa et al., "Scikit-learn: Machine Learning in Python," Journal of Machine Learning Research, vol. 12, pp. 2825-2830, 2011.</w:t>
      </w:r>
    </w:p>
    <w:p>
      <w:pPr>
        <w:jc w:val="both"/>
      </w:pPr>
      <w:r>
        <w:rPr>
          <w:rFonts w:ascii="Times New Roman" w:hAnsi="Times New Roman"/>
          <w:sz w:val="20"/>
        </w:rPr>
        <w:t>[3] D. Dua and C. Graff, "UCI Machine Learning Repository," University of California, Irvine, 2019. [Online]. Available: https://archive.ics.uci.edu/ml</w:t>
      </w:r>
    </w:p>
    <w:p>
      <w:pPr>
        <w:jc w:val="both"/>
      </w:pPr>
      <w:r>
        <w:rPr>
          <w:rFonts w:ascii="Times New Roman" w:hAnsi="Times New Roman"/>
          <w:sz w:val="20"/>
        </w:rPr>
        <w:t>[4] M. Mitchell et al., "Model Cards for Model Reporting," Proc. FAT*, pp. 220-229, 2019.</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40" w:lineRule="auto"/>
    </w:pPr>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jc w:val="center"/>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Times New Roman" w:hAnsi="Times New Roman"/>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