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시스템 아키텍처 설계서</w:t>
      </w:r>
    </w:p>
    <w:p>
      <w:pPr>
        <w:jc w:val="center"/>
      </w:pPr>
      <w:r>
        <w:rPr>
          <w:color w:val="64748B"/>
          <w:sz w:val="26"/>
        </w:rPr>
        <w:t>System Architecture Design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아키텍처 개요</w:t>
      </w:r>
    </w:p>
    <w:p>
      <w:r>
        <w:t>LabNote ELN은 MSA(Microservice Architecture) 기반으로 설계되었다. 9개 백엔드 서비스가 Docker Compose로 배포되며, API Gateway를 통해 외부 요청을 라우팅한다.</w:t>
      </w:r>
    </w:p>
    <w:p>
      <w:pPr>
        <w:pStyle w:val="Heading1"/>
      </w:pPr>
      <w:r>
        <w:t>2. 서비스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포트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주요 기술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DB 스키마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api-gateway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 검증, 프록시, Rate Limit, SSE, 대시보드 집계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Fastify, @fastify/http-proxy, ioredis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조직/팀/사용자 CRUD, RBAC, JWT 발급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Fastify, Prisma, jose, bcrypt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eln-service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노트/프로토콜/템플릿 CRUD, 버전관리, 이벤트 소비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Fastify, Prisma, ioredis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eln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signature-audit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8003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전자서명(해시체인), 감사로그, PDF 내보내기, 알림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Fastify, Prisma, BullMQ, Puppeteer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signature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inventory-service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시약/장비 CRUD, 수량관리, 바코드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Fastify, Prisma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scheduler-service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8005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예약 CRUD, 승인/거절, 비관적 락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Fastify, Prisma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scheduler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search-service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통합검색, 자동완성, 인덱스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Fastify, Prisma, @opensearch-project/opensearch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file-service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8008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파일 업/다운로드, presigned URL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Fastify, Prisma, @aws-sdk/client-s3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file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collab-service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WebSocket 실시간 협업, Redis Pub/Sub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ws, ioredis, jsonwebtoken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3. 통신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패턴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동기 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fetch/http.request + x-internal-secret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서비스 간 직접 호출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비밀번호 검증, 감사로그 기록, 검색 인덱스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비동기 이벤트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Redis Stream (XADD/XREADGROUP)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이벤트 기반 상태 전환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NOTE_SIGNED: sig-audit→eln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실시간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 Pub/Sub → SSE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실시간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export-status, notifications:{userId}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백그라운드 작업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BullMQ (Redis 기반)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비동기 작업 큐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PDF/ZIP 내보내기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실시간 협업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WebSocket + Redis Pub/Sub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다중 사용자 동시 편집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collab-service 팬아웃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API 프록시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@fastify/http-proxy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외부→내부 라우팅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api-gateway → 각 서비스</w:t>
            </w:r>
          </w:p>
        </w:tc>
      </w:tr>
    </w:tbl>
    <w:p>
      <w:pPr>
        <w:pStyle w:val="Heading1"/>
      </w:pPr>
      <w:r>
        <w:t>4. 인증/인가 아키텍처</w:t>
      </w:r>
    </w:p>
    <w:p>
      <w:r>
        <w:t>1) api-gateway가 JWT 검증 (jose JWKS + 로컬 듀얼)</w:t>
        <w:br/>
        <w:t>2) 검증 후 헤더 주입: x-user-id, x-user-role, x-user-permissions, x-user-org-id</w:t>
        <w:br/>
        <w:t>3) 각 서비스: requireAuth → requirePermission 미들웨어</w:t>
        <w:br/>
        <w:t>4) 내부 통신: x-internal-secret 헤더 인증</w:t>
        <w:br/>
        <w:t>5) 모든 쿼리: getOrgId() + withOrgScope() 멀티테넌시 격리</w:t>
      </w:r>
    </w:p>
    <w:p>
      <w:pPr>
        <w:pStyle w:val="Heading1"/>
      </w:pPr>
      <w:r>
        <w:t>5. 인프라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설정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관계형 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단일 인스턴스, 7개 스키마 분리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캐시, Stream, Pub/Sub, BullMQ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단일 인스턴스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오브젝트 스토리지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S3 호환, labnote-* 버킷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OpenSearch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검색 엔진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한국어 nori 분석기, labnote_notes 인덱스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Keycloak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SSO (선택)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realm-labnote.json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Jaeger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분산 트레이싱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OpenTelemetry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Dozzle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로그 뷰어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로그 집계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