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b/>
          <w:color w:val="1E40AF"/>
          <w:sz w:val="52"/>
        </w:rPr>
        <w:t>운영 이행 계획서</w:t>
      </w:r>
    </w:p>
    <w:p>
      <w:pPr>
        <w:jc w:val="center"/>
      </w:pPr>
      <w:r>
        <w:rPr>
          <w:color w:val="64748B"/>
          <w:sz w:val="26"/>
        </w:rPr>
        <w:t>Operations Transition Plan</w:t>
      </w:r>
    </w:p>
    <w:p/>
    <w:p>
      <w:pPr>
        <w:jc w:val="center"/>
      </w:pPr>
      <w:r>
        <w:rPr>
          <w:sz w:val="26"/>
        </w:rPr>
        <w:t>LabNote ELN 프로젝트</w:t>
      </w:r>
    </w:p>
    <w:p>
      <w:pPr>
        <w:jc w:val="center"/>
      </w:pPr>
      <w:r>
        <w:rPr>
          <w:color w:val="64748B"/>
          <w:sz w:val="20"/>
        </w:rPr>
        <w:t>작성일: 2026-03-25  |  버전: 1.0</w:t>
      </w:r>
    </w:p>
    <w:p>
      <w:r>
        <w:br w:type="page"/>
      </w:r>
    </w:p>
    <w:p>
      <w:pPr>
        <w:pStyle w:val="Heading1"/>
      </w:pPr>
      <w:r>
        <w:t>1. 이행 개요</w:t>
      </w:r>
    </w:p>
    <w:p>
      <w:r>
        <w:t>LabNote ELN 시스템을 운영 환경에 배포하기 위한 계획. Docker Compose 기반 온프레미스 배포.</w:t>
      </w:r>
    </w:p>
    <w:p>
      <w:pPr>
        <w:pStyle w:val="Heading1"/>
      </w:pPr>
      <w:r>
        <w:t>2. 이행 절차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E40AF"/>
          </w:tcPr>
          <w:p>
            <w:r>
              <w:rPr>
                <w:b/>
                <w:color w:val="FFFFFF"/>
                <w:sz w:val="18"/>
              </w:rPr>
              <w:t>단계</w:t>
            </w:r>
          </w:p>
        </w:tc>
        <w:tc>
          <w:tcPr>
            <w:tcW w:type="dxa" w:w="2160"/>
            <w:shd w:val="clear" w:color="auto" w:fill="1E40AF"/>
          </w:tcPr>
          <w:p>
            <w:r>
              <w:rPr>
                <w:b/>
                <w:color w:val="FFFFFF"/>
                <w:sz w:val="18"/>
              </w:rPr>
              <w:t>작업</w:t>
            </w:r>
          </w:p>
        </w:tc>
        <w:tc>
          <w:tcPr>
            <w:tcW w:type="dxa" w:w="2160"/>
            <w:shd w:val="clear" w:color="auto" w:fill="1E40AF"/>
          </w:tcPr>
          <w:p>
            <w:r>
              <w:rPr>
                <w:b/>
                <w:color w:val="FFFFFF"/>
                <w:sz w:val="18"/>
              </w:rPr>
              <w:t>담당</w:t>
            </w:r>
          </w:p>
        </w:tc>
        <w:tc>
          <w:tcPr>
            <w:tcW w:type="dxa" w:w="2160"/>
            <w:shd w:val="clear" w:color="auto" w:fill="1E40AF"/>
          </w:tcPr>
          <w:p>
            <w:r>
              <w:rPr>
                <w:b/>
                <w:color w:val="FFFFFF"/>
                <w:sz w:val="18"/>
              </w:rPr>
              <w:t>확인사항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운영 서버 환경 준비 (Docker, 네트워크)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DevOps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Docker Engine 24+, Compose v2</w:t>
            </w:r>
          </w:p>
        </w:tc>
      </w:tr>
      <w:tr>
        <w:tc>
          <w:tcPr>
            <w:tcW w:type="dxa" w:w="2160"/>
            <w:shd w:val="clear" w:color="auto" w:fill="F1F5F9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160"/>
            <w:shd w:val="clear" w:color="auto" w:fill="F1F5F9"/>
          </w:tcPr>
          <w:p>
            <w:r>
              <w:rPr>
                <w:sz w:val="18"/>
              </w:rPr>
              <w:t>.env 파일 구성 (DB, Redis, MinIO, JWT 시크릿)</w:t>
            </w:r>
          </w:p>
        </w:tc>
        <w:tc>
          <w:tcPr>
            <w:tcW w:type="dxa" w:w="2160"/>
            <w:shd w:val="clear" w:color="auto" w:fill="F1F5F9"/>
          </w:tcPr>
          <w:p>
            <w:r>
              <w:rPr>
                <w:sz w:val="18"/>
              </w:rPr>
              <w:t>DevOps</w:t>
            </w:r>
          </w:p>
        </w:tc>
        <w:tc>
          <w:tcPr>
            <w:tcW w:type="dxa" w:w="2160"/>
            <w:shd w:val="clear" w:color="auto" w:fill="F1F5F9"/>
          </w:tcPr>
          <w:p>
            <w:r>
              <w:rPr>
                <w:sz w:val="18"/>
              </w:rPr>
              <w:t>시크릿 값 생성, 환경변수 검증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docker compose up -d (전체 서비스 기동)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DevOps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전 서비스 healthy 상태 확인</w:t>
            </w:r>
          </w:p>
        </w:tc>
      </w:tr>
      <w:tr>
        <w:tc>
          <w:tcPr>
            <w:tcW w:type="dxa" w:w="2160"/>
            <w:shd w:val="clear" w:color="auto" w:fill="F1F5F9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color="auto" w:fill="F1F5F9"/>
          </w:tcPr>
          <w:p>
            <w:r>
              <w:rPr>
                <w:sz w:val="18"/>
              </w:rPr>
              <w:t>Prisma migrate deploy (DB 스키마 적용)</w:t>
            </w:r>
          </w:p>
        </w:tc>
        <w:tc>
          <w:tcPr>
            <w:tcW w:type="dxa" w:w="2160"/>
            <w:shd w:val="clear" w:color="auto" w:fill="F1F5F9"/>
          </w:tcPr>
          <w:p>
            <w:r>
              <w:rPr>
                <w:sz w:val="18"/>
              </w:rPr>
              <w:t>DevOps</w:t>
            </w:r>
          </w:p>
        </w:tc>
        <w:tc>
          <w:tcPr>
            <w:tcW w:type="dxa" w:w="2160"/>
            <w:shd w:val="clear" w:color="auto" w:fill="F1F5F9"/>
          </w:tcPr>
          <w:p>
            <w:r>
              <w:rPr>
                <w:sz w:val="18"/>
              </w:rPr>
              <w:t>마이그레이션 성공 확인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Prisma db seed (초기 데이터 투입)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DevOps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관리자 계정, 기본 역할/권한</w:t>
            </w:r>
          </w:p>
        </w:tc>
      </w:tr>
      <w:tr>
        <w:tc>
          <w:tcPr>
            <w:tcW w:type="dxa" w:w="2160"/>
            <w:shd w:val="clear" w:color="auto" w:fill="F1F5F9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color="auto" w:fill="F1F5F9"/>
          </w:tcPr>
          <w:p>
            <w:r>
              <w:rPr>
                <w:sz w:val="18"/>
              </w:rPr>
              <w:t>OpenSearch 인덱스 생성 및 매핑</w:t>
            </w:r>
          </w:p>
        </w:tc>
        <w:tc>
          <w:tcPr>
            <w:tcW w:type="dxa" w:w="2160"/>
            <w:shd w:val="clear" w:color="auto" w:fill="F1F5F9"/>
          </w:tcPr>
          <w:p>
            <w:r>
              <w:rPr>
                <w:sz w:val="18"/>
              </w:rPr>
              <w:t>DevOps</w:t>
            </w:r>
          </w:p>
        </w:tc>
        <w:tc>
          <w:tcPr>
            <w:tcW w:type="dxa" w:w="2160"/>
            <w:shd w:val="clear" w:color="auto" w:fill="F1F5F9"/>
          </w:tcPr>
          <w:p>
            <w:r>
              <w:rPr>
                <w:sz w:val="18"/>
              </w:rPr>
              <w:t>nori 분석기, 매핑 확인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MinIO 버킷 생성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DevOps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labnote-files, labnote-exports</w:t>
            </w:r>
          </w:p>
        </w:tc>
      </w:tr>
      <w:tr>
        <w:tc>
          <w:tcPr>
            <w:tcW w:type="dxa" w:w="2160"/>
            <w:shd w:val="clear" w:color="auto" w:fill="F1F5F9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160"/>
            <w:shd w:val="clear" w:color="auto" w:fill="F1F5F9"/>
          </w:tcPr>
          <w:p>
            <w:r>
              <w:rPr>
                <w:sz w:val="18"/>
              </w:rPr>
              <w:t>기존 데이터 마이그레이션 (해당 시)</w:t>
            </w:r>
          </w:p>
        </w:tc>
        <w:tc>
          <w:tcPr>
            <w:tcW w:type="dxa" w:w="2160"/>
            <w:shd w:val="clear" w:color="auto" w:fill="F1F5F9"/>
          </w:tcPr>
          <w:p>
            <w:r>
              <w:rPr>
                <w:sz w:val="18"/>
              </w:rPr>
              <w:t>DA</w:t>
            </w:r>
          </w:p>
        </w:tc>
        <w:tc>
          <w:tcPr>
            <w:tcW w:type="dxa" w:w="2160"/>
            <w:shd w:val="clear" w:color="auto" w:fill="F1F5F9"/>
          </w:tcPr>
          <w:p>
            <w:r>
              <w:rPr>
                <w:sz w:val="18"/>
              </w:rPr>
              <w:t>데이터 정합성 확인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연동 테스트 (헬스체크, 기본 기능)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QA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전체 /health 정상</w:t>
            </w:r>
          </w:p>
        </w:tc>
      </w:tr>
      <w:tr>
        <w:tc>
          <w:tcPr>
            <w:tcW w:type="dxa" w:w="2160"/>
            <w:shd w:val="clear" w:color="auto" w:fill="F1F5F9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160"/>
            <w:shd w:val="clear" w:color="auto" w:fill="F1F5F9"/>
          </w:tcPr>
          <w:p>
            <w:r>
              <w:rPr>
                <w:sz w:val="18"/>
              </w:rPr>
              <w:t>사용자 교육</w:t>
            </w:r>
          </w:p>
        </w:tc>
        <w:tc>
          <w:tcPr>
            <w:tcW w:type="dxa" w:w="2160"/>
            <w:shd w:val="clear" w:color="auto" w:fill="F1F5F9"/>
          </w:tcPr>
          <w:p>
            <w:r>
              <w:rPr>
                <w:sz w:val="18"/>
              </w:rPr>
              <w:t>PM</w:t>
            </w:r>
          </w:p>
        </w:tc>
        <w:tc>
          <w:tcPr>
            <w:tcW w:type="dxa" w:w="2160"/>
            <w:shd w:val="clear" w:color="auto" w:fill="F1F5F9"/>
          </w:tcPr>
          <w:p>
            <w:r>
              <w:rPr>
                <w:sz w:val="18"/>
              </w:rPr>
              <w:t>교육 완료 확인</w:t>
            </w:r>
          </w:p>
        </w:tc>
      </w:tr>
    </w:tbl>
    <w:p>
      <w:pPr>
        <w:pStyle w:val="Heading1"/>
      </w:pPr>
      <w:r>
        <w:t>3. 롤백 계획</w:t>
      </w:r>
    </w:p>
    <w:p>
      <w:pPr>
        <w:pStyle w:val="ListBullet"/>
      </w:pPr>
      <w:r>
        <w:t>Docker 이미지 태그 관리: 이전 버전 이미지 보존</w:t>
      </w:r>
    </w:p>
    <w:p>
      <w:pPr>
        <w:pStyle w:val="ListBullet"/>
      </w:pPr>
      <w:r>
        <w:t>DB 백업: 이행 전 pg_dump 실행</w:t>
      </w:r>
    </w:p>
    <w:p>
      <w:pPr>
        <w:pStyle w:val="ListBullet"/>
      </w:pPr>
      <w:r>
        <w:t>롤백 절차: docker compose down → 이전 이미지 태그로 재기동 → DB 복원</w:t>
      </w:r>
    </w:p>
    <w:p>
      <w:pPr>
        <w:pStyle w:val="Heading1"/>
      </w:pPr>
      <w:r>
        <w:t>4. 운영 환경 정보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E40AF"/>
          </w:tcPr>
          <w:p>
            <w:r>
              <w:rPr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4320"/>
            <w:shd w:val="clear" w:color="auto" w:fill="1E40AF"/>
          </w:tcPr>
          <w:p>
            <w:r>
              <w:rPr>
                <w:b/>
                <w:color w:val="FFFFFF"/>
                <w:sz w:val="18"/>
              </w:rPr>
              <w:t>사양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OS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Ubuntu 22.04 LTS</w:t>
            </w:r>
          </w:p>
        </w:tc>
      </w:tr>
      <w:tr>
        <w:tc>
          <w:tcPr>
            <w:tcW w:type="dxa" w:w="4320"/>
            <w:shd w:val="clear" w:color="auto" w:fill="F1F5F9"/>
          </w:tcPr>
          <w:p>
            <w:r>
              <w:rPr>
                <w:sz w:val="18"/>
              </w:rPr>
              <w:t>CPU</w:t>
            </w:r>
          </w:p>
        </w:tc>
        <w:tc>
          <w:tcPr>
            <w:tcW w:type="dxa" w:w="4320"/>
            <w:shd w:val="clear" w:color="auto" w:fill="F1F5F9"/>
          </w:tcPr>
          <w:p>
            <w:r>
              <w:rPr>
                <w:sz w:val="18"/>
              </w:rPr>
              <w:t>8 vCPU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메모리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16GB RAM</w:t>
            </w:r>
          </w:p>
        </w:tc>
      </w:tr>
      <w:tr>
        <w:tc>
          <w:tcPr>
            <w:tcW w:type="dxa" w:w="4320"/>
            <w:shd w:val="clear" w:color="auto" w:fill="F1F5F9"/>
          </w:tcPr>
          <w:p>
            <w:r>
              <w:rPr>
                <w:sz w:val="18"/>
              </w:rPr>
              <w:t>디스크</w:t>
            </w:r>
          </w:p>
        </w:tc>
        <w:tc>
          <w:tcPr>
            <w:tcW w:type="dxa" w:w="4320"/>
            <w:shd w:val="clear" w:color="auto" w:fill="F1F5F9"/>
          </w:tcPr>
          <w:p>
            <w:r>
              <w:rPr>
                <w:sz w:val="18"/>
              </w:rPr>
              <w:t>SSD 200GB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Docker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Engine 24+, Compose v2</w:t>
            </w:r>
          </w:p>
        </w:tc>
      </w:tr>
      <w:tr>
        <w:tc>
          <w:tcPr>
            <w:tcW w:type="dxa" w:w="4320"/>
            <w:shd w:val="clear" w:color="auto" w:fill="F1F5F9"/>
          </w:tcPr>
          <w:p>
            <w:r>
              <w:rPr>
                <w:sz w:val="18"/>
              </w:rPr>
              <w:t>네트워크</w:t>
            </w:r>
          </w:p>
        </w:tc>
        <w:tc>
          <w:tcPr>
            <w:tcW w:type="dxa" w:w="4320"/>
            <w:shd w:val="clear" w:color="auto" w:fill="F1F5F9"/>
          </w:tcPr>
          <w:p>
            <w:r>
              <w:rPr>
                <w:sz w:val="18"/>
              </w:rPr>
              <w:t>내부 네트워크 (외부 접근: 5173, 8000)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/>
      <w:b/>
      <w:bCs/>
      <w:color w:val="1E40A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/>
      <w:b/>
      <w:bCs/>
      <w:color w:val="1E40A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맑은 고딕" w:hAnsi="맑은 고딕"/>
      <w:b/>
      <w:bCs/>
      <w:color w:val="1E40A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