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리스크 브리핑</w:t>
      </w:r>
    </w:p>
    <w:p>
      <w:pPr>
        <w:spacing w:after="160"/>
      </w:pPr>
      <w:r>
        <w:rPr>
          <w:b/>
          <w:color w:val="D04A02"/>
          <w:sz w:val="20"/>
          <w:szCs w:val="20"/>
        </w:rPr>
        <w:t xml:space="preserve">대외비 · Confidential</w:t>
      </w:r>
    </w:p>
    <w:p>
      <w:pPr>
        <w:spacing w:after="600"/>
      </w:pPr>
      <w:r>
        <w:rPr>
          <w:color w:val="595959"/>
          <w:sz w:val="20"/>
          <w:szCs w:val="20"/>
        </w:rPr>
        <w:t xml:space="preserve">작성일 2026-07-10</w:t>
      </w:r>
    </w:p>
    <w:p>
      <w:pPr>
        <w:pBdr>
          <w:left w:val="single" w:sz="24" w:space="8" w:color="D04A02"/>
        </w:pBdr>
        <w:spacing w:after="80"/>
        <w:ind w:left="284"/>
      </w:pPr>
      <w:r>
        <w:rPr>
          <w:b/>
          <w:color w:val="1B2A4A"/>
          <w:sz w:val="20"/>
          <w:szCs w:val="20"/>
        </w:rPr>
        <w:t xml:space="preserve">대상 데이터  </w:t>
      </w:r>
      <w:r>
        <w:rPr>
          <w:color w:val="595959"/>
          <w:sz w:val="20"/>
          <w:szCs w:val="20"/>
        </w:rPr>
        <w:t xml:space="preserve">내부 회계·재무 데이터 (불변식 게이트 INV-1~7 PASS 통과분)</w:t>
      </w:r>
    </w:p>
    <w:p>
      <w:pPr>
        <w:pBdr>
          <w:left w:val="single" w:sz="24" w:space="8" w:color="D04A02"/>
        </w:pBdr>
        <w:spacing w:after="80"/>
        <w:ind w:left="284"/>
      </w:pPr>
      <w:r>
        <w:rPr>
          <w:b/>
          <w:color w:val="1B2A4A"/>
          <w:sz w:val="20"/>
          <w:szCs w:val="20"/>
        </w:rPr>
        <w:t xml:space="preserve">진단 기준  </w:t>
      </w:r>
      <w:r>
        <w:rPr>
          <w:color w:val="595959"/>
          <w:sz w:val="20"/>
          <w:szCs w:val="20"/>
        </w:rPr>
        <w:t xml:space="preserve">결정론 신호 파생 4건 PRESENT — 아래 리스크는 모두 데이터에서 기계적으로 파생된 근거 수치에 기반합니다.</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수익-현금 괴리: 수익 조기 인식 의심 (S1)</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위 판별 테스트를 이번 주 내 실행하고, 결과 확인 전까지 해당 매출 기반의 투자·배당 의사결정을 보류하십시오.</w:t>
            </w:r>
          </w:p>
        </w:tc>
      </w:tr>
      <w:tr>
        <w:tc>
          <w:tcPr>
            <w:tcW w:w="700" w:type="dxa"/>
            <w:vAlign w:val="center"/>
          </w:tcPr>
          <w:p>
            <w:pPr>
              <w:spacing w:before="60" w:after="60"/>
            </w:pPr>
            <w:r>
              <w:rPr>
                <w:b/>
                <w:color w:val="D04A02"/>
                <w:sz w:val="19"/>
                <w:szCs w:val="19"/>
              </w:rPr>
              <w:t xml:space="preserve">R2</w:t>
            </w:r>
          </w:p>
        </w:tc>
        <w:tc>
          <w:tcPr>
            <w:tcW w:w="3300" w:type="dxa"/>
            <w:vAlign w:val="center"/>
          </w:tcPr>
          <w:p>
            <w:pPr>
              <w:spacing w:before="60" w:after="60"/>
            </w:pPr>
            <w:r>
              <w:rPr>
                <w:b/>
                <w:sz w:val="19"/>
                <w:szCs w:val="19"/>
              </w:rPr>
              <w:t xml:space="preserve">특정 거래처 신용 집중 (S2)</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해당 거래처와의 신규 여신 거래를 담보 확보 전까지 제한하고, 대손충당금 적정성을 재산정하십시오.</w:t>
            </w:r>
          </w:p>
        </w:tc>
      </w:tr>
      <w:tr>
        <w:tc>
          <w:tcPr>
            <w:tcW w:w="700" w:type="dxa"/>
            <w:vAlign w:val="center"/>
          </w:tcPr>
          <w:p>
            <w:pPr>
              <w:spacing w:before="60" w:after="60"/>
            </w:pPr>
            <w:r>
              <w:rPr>
                <w:b/>
                <w:color w:val="D04A02"/>
                <w:sz w:val="19"/>
                <w:szCs w:val="19"/>
              </w:rPr>
              <w:t xml:space="preserve">R3</w:t>
            </w:r>
          </w:p>
        </w:tc>
        <w:tc>
          <w:tcPr>
            <w:tcW w:w="3300" w:type="dxa"/>
            <w:vAlign w:val="center"/>
          </w:tcPr>
          <w:p>
            <w:pPr>
              <w:spacing w:before="60" w:after="60"/>
            </w:pPr>
            <w:r>
              <w:rPr>
                <w:b/>
                <w:sz w:val="19"/>
                <w:szCs w:val="19"/>
              </w:rPr>
              <w:t xml:space="preserve">원가 배분 왜곡: 보이지 않는 손실 (S3)</w:t>
            </w:r>
          </w:p>
        </w:tc>
        <w:tc>
          <w:tcPr>
            <w:tcW w:w="1100" w:type="dxa"/>
            <w:vAlign w:val="center"/>
          </w:tcPr>
          <w:p>
            <w:pPr>
              <w:spacing w:before="60" w:after="60"/>
            </w:pPr>
            <w:r>
              <w:rPr>
                <w:b/>
                <w:color w:val="B45309"/>
                <w:sz w:val="19"/>
                <w:szCs w:val="19"/>
              </w:rPr>
              <w:t xml:space="preserve">가설</w:t>
            </w:r>
          </w:p>
        </w:tc>
        <w:tc>
          <w:tcPr>
            <w:tcW w:w="3970" w:type="dxa"/>
            <w:vAlign w:val="center"/>
          </w:tcPr>
          <w:p>
            <w:pPr>
              <w:spacing w:before="60" w:after="60"/>
            </w:pPr>
            <w:r>
              <w:rPr>
                <w:sz w:val="19"/>
                <w:szCs w:val="19"/>
              </w:rPr>
              <w:t xml:space="preserve">제품C의 가격 인상·생산 조정·철수 검토를 배부율 재검증 완료 후 즉시 착수할 수 있게 준비하십시오.</w:t>
            </w:r>
          </w:p>
        </w:tc>
      </w:tr>
      <w:tr>
        <w:tc>
          <w:tcPr>
            <w:tcW w:w="700" w:type="dxa"/>
            <w:vAlign w:val="center"/>
          </w:tcPr>
          <w:p>
            <w:pPr>
              <w:spacing w:before="60" w:after="60"/>
            </w:pPr>
            <w:r>
              <w:rPr>
                <w:b/>
                <w:color w:val="D04A02"/>
                <w:sz w:val="19"/>
                <w:szCs w:val="19"/>
              </w:rPr>
              <w:t xml:space="preserve">R4</w:t>
            </w:r>
          </w:p>
        </w:tc>
        <w:tc>
          <w:tcPr>
            <w:tcW w:w="3300" w:type="dxa"/>
            <w:vAlign w:val="center"/>
          </w:tcPr>
          <w:p>
            <w:pPr>
              <w:spacing w:before="60" w:after="60"/>
            </w:pPr>
            <w:r>
              <w:rPr>
                <w:b/>
                <w:sz w:val="19"/>
                <w:szCs w:val="19"/>
              </w:rPr>
              <w:t xml:space="preserve">차입 의존 성장과 금리 노출 (S4)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변동금리 잔액 14,500에 대한 헤지 비율을 확인하고, 미헤지 상태라면 고정 전환·IRS 체결을 재무 라인에 검토 지시하십시오.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Heading1"/>
      </w:pPr>
      <w:r>
        <w:rPr>
          <w:b/>
          <w:color w:val="1B2A4A"/>
        </w:rPr>
        <w:t xml:space="preserve">리스크 1 — 수익-현금 괴리: 수익 조기 인식 의심 (S1)</w:t>
      </w:r>
    </w:p>
    <w:p>
      <w:pPr>
        <w:jc w:val="both"/>
      </w:pPr>
      <w:r>
        <w:rPr>
          <w:b/>
          <w:color w:val="1B2A4A"/>
        </w:rPr>
        <w:t xml:space="preserve">결론. </w:t>
      </w:r>
      <w:r>
        <w:t xml:space="preserve">매출은 늘었다고 기록되는데 현금은 오히려 빠져나가고 있습니다. 장부상 성장과 실제 현금흐름이 반대 방향으로 움직이는 구간입니다.</w:t>
      </w:r>
    </w:p>
    <w:p>
      <w:pPr>
        <w:jc w:val="both"/>
      </w:pPr>
      <w:r>
        <w:rPr>
          <w:b/>
        </w:rPr>
        <w:t xml:space="preserve">근거</w:t>
      </w:r>
      <w:r>
        <w:t xml:space="preserve"> (2026Q1→2026Q2, 내부 재무 데이터):</w:t>
      </w:r>
    </w:p>
    <w:p>
      <w:pPr>
        <w:pStyle w:val="ListParagraph"/>
        <w:numPr>
          <w:ilvl w:val="0"/>
          <w:numId w:val="1"/>
        </w:numPr>
        <w:jc w:val="both"/>
      </w:pPr>
      <w:r>
        <w:t xml:space="preserve">매출 성장률 11.3% 대비 매출채권 증가율 46.9% — 격차 35.7%p (임계 15%p 초과)</w:t>
      </w:r>
    </w:p>
    <w:p>
      <w:pPr>
        <w:pStyle w:val="ListParagraph"/>
        <w:numPr>
          <w:ilvl w:val="0"/>
          <w:numId w:val="1"/>
        </w:numPr>
        <w:jc w:val="both"/>
      </w:pPr>
      <w:r>
        <w:t xml:space="preserve">계약부채(선수금) 340→180으로 47.1% 급감 (임계 20% 초과)</w:t>
      </w:r>
    </w:p>
    <w:p>
      <w:pPr>
        <w:pStyle w:val="ListParagraph"/>
        <w:numPr>
          <w:ilvl w:val="0"/>
          <w:numId w:val="1"/>
        </w:numPr>
        <w:jc w:val="both"/>
      </w:pPr>
      <w:r>
        <w:t xml:space="preserve">영업현금흐름 880→-310 — 음(-)전환</w:t>
      </w:r>
    </w:p>
    <w:p>
      <w:pPr>
        <w:jc w:val="both"/>
      </w:pPr>
      <w:r>
        <w:rPr>
          <w:b/>
          <w:color w:val="1B2A4A"/>
        </w:rPr>
        <w:t xml:space="preserve">왜 문제인가. </w:t>
      </w:r>
      <w:r>
        <w:t xml:space="preserve">매출이 진짜 판매에서 나왔다면 현금이나 회수 가능한 채권이 비슷한 속도로 따라와야 합니다. 그런데 매출보다 채권이 4배 이상 빠르게 쌓이면서, 미리 받아둔 선수금까지 절반 가까이 소진됐습니다. 이는 "미래에 인식할 수익을 이번 분기로 당겨왔을 가능성"과 정합적인 패턴입니다. 이 상태가 다음 분기까지 이어지면 당겨올 수익이 고갈되면서 매출 절벽과 현금 경색이 동시에 올 수 있습니다.</w:t>
      </w:r>
    </w:p>
    <w:p>
      <w:pPr>
        <w:jc w:val="both"/>
      </w:pPr>
      <w:r>
        <w:rPr>
          <w:b/>
          <w:color w:val="1B2A4A"/>
        </w:rPr>
        <w:t xml:space="preserve">확신도. </w:t>
      </w:r>
      <w:r>
        <w:rPr>
          <w:b/>
          <w:color w:val="B45309"/>
        </w:rPr>
        <w:t xml:space="preserve">가설</w:t>
      </w:r>
      <w:r>
        <w:t xml:space="preserve"> — 수치 괴리는 데이터로 확인되나, 조기 인식 여부 자체는 전표 수준 검증이 필요합니다.</w:t>
      </w:r>
    </w:p>
    <w:p>
      <w:pPr>
        <w:jc w:val="both"/>
      </w:pPr>
      <w:r>
        <w:rPr>
          <w:b/>
          <w:color w:val="1B2A4A"/>
        </w:rPr>
        <w:t xml:space="preserve">판별 테스트. </w:t>
      </w:r>
    </w:p>
    <w:p>
      <w:pPr>
        <w:pStyle w:val="ListParagraph"/>
        <w:numPr>
          <w:ilvl w:val="0"/>
          <w:numId w:val="1"/>
        </w:numPr>
        <w:jc w:val="both"/>
      </w:pPr>
      <w:r>
        <w:t xml:space="preserve">기말 ±7일 매출 전표 분포 확인 (cut-off 테스트) — 분기말 직전 집중 시 가설 강화</w:t>
      </w:r>
    </w:p>
    <w:p>
      <w:pPr>
        <w:pStyle w:val="ListParagraph"/>
        <w:numPr>
          <w:ilvl w:val="0"/>
          <w:numId w:val="1"/>
        </w:numPr>
        <w:jc w:val="both"/>
      </w:pPr>
      <w:r>
        <w:t xml:space="preserve">계약 진행률·검수 완료 증빙 대사</w:t>
      </w:r>
    </w:p>
    <w:p>
      <w:pPr>
        <w:pStyle w:val="ListParagraph"/>
        <w:numPr>
          <w:ilvl w:val="0"/>
          <w:numId w:val="1"/>
        </w:numPr>
        <w:jc w:val="both"/>
      </w:pPr>
      <w:r>
        <w:t xml:space="preserve">기말 전후 반품/취소 내역 확인 — 기초 반품 급증 시 가설 강화</w:t>
      </w:r>
    </w:p>
    <w:p>
      <w:pPr>
        <w:jc w:val="both"/>
      </w:pPr>
      <w:r>
        <w:rPr>
          <w:b/>
          <w:color w:val="1B2A4A"/>
        </w:rPr>
        <w:t xml:space="preserve">권고 조치. </w:t>
      </w:r>
      <w:r>
        <w:t xml:space="preserve">위 판별 테스트를 이번 주 내 실행하고, 결과 확인 전까지 해당 매출 기반의 투자·배당 의사결정을 보류하십시오.</w:t>
      </w:r>
    </w:p>
    <w:p>
      <w:pPr>
        <w:pStyle w:val="Heading1"/>
      </w:pPr>
      <w:r>
        <w:rPr>
          <w:b/>
          <w:color w:val="1B2A4A"/>
        </w:rPr>
        <w:t xml:space="preserve">리스크 2 — 특정 거래처 신용 집중 (S2)</w:t>
      </w:r>
    </w:p>
    <w:p>
      <w:pPr>
        <w:jc w:val="both"/>
      </w:pPr>
      <w:r>
        <w:rPr>
          <w:b/>
          <w:color w:val="1B2A4A"/>
        </w:rPr>
        <w:t xml:space="preserve">결론. </w:t>
      </w:r>
      <w:r>
        <w:t xml:space="preserve">연체 채권이 사실상 거래처 한 곳에 몰려 있습니다. 에이프릴리테일 한 곳의 지급 능력이 회사의 채권 건전성을 좌우하는 구조입니다.</w:t>
      </w:r>
    </w:p>
    <w:p>
      <w:pPr>
        <w:spacing w:before="240" w:after="80"/>
      </w:pPr>
      <w:r>
        <w:rPr>
          <w:b/>
          <w:color w:val="1B2A4A"/>
          <w:sz w:val="22"/>
          <w:szCs w:val="22"/>
        </w:rPr>
        <w:t xml:space="preserve">**근거** (2026Q2, 내부 채권 데이터)</w:t>
      </w:r>
    </w:p>
    <w:p>
      <w:pPr>
        <w:pStyle w:val="ListParagraph"/>
        <w:numPr>
          <w:ilvl w:val="0"/>
          <w:numId w:val="1"/>
        </w:numPr>
        <w:jc w:val="both"/>
      </w:pPr>
      <w:r>
        <w:t xml:space="preserve">총 연체액 1,920 중 에이프릴리테일 단독 1,750 — 집중도 91.1% (임계 60% 초과)</w:t>
      </w:r>
    </w:p>
    <w:p>
      <w:pPr>
        <w:pStyle w:val="ListParagraph"/>
        <w:numPr>
          <w:ilvl w:val="0"/>
          <w:numId w:val="1"/>
        </w:numPr>
        <w:jc w:val="both"/>
      </w:pPr>
      <w:r>
        <w:t xml:space="preserve">연체액이 전체 매출채권의 26.7% (중요성 기준 5% 초과)</w:t>
      </w:r>
    </w:p>
    <w:p>
      <w:pPr>
        <w:jc w:val="both"/>
      </w:pPr>
      <w:r>
        <w:rPr>
          <w:b/>
          <w:color w:val="1B2A4A"/>
        </w:rPr>
        <w:t xml:space="preserve">왜 문제인가. </w:t>
      </w:r>
      <w:r>
        <w:t xml:space="preserve">연체가 여러 거래처에 분산돼 있으면 일부 손실로 끝나지만, 한 곳에 91% 몰려 있으면 그 거래처의 자금 사정이 곧 우리 회사의 손실 규모가 됩니다. 리스크 1의 매출채권 급증과 겹쳐 보면, 늘어난 채권의 회수 가능성 자체가 이 한 거래처에 걸려 있을 수 있습니다 — 매출 숫자는 커졌는데 그 대금을 받을 수 있을지가 단일 상대방에 종속된 상태입니다.</w:t>
      </w:r>
    </w:p>
    <w:p>
      <w:pPr>
        <w:jc w:val="both"/>
      </w:pPr>
      <w:r>
        <w:rPr>
          <w:b/>
          <w:color w:val="1B2A4A"/>
        </w:rPr>
        <w:t xml:space="preserve">확신도. </w:t>
      </w:r>
      <w:r>
        <w:rPr>
          <w:b/>
          <w:color w:val="1F7A33"/>
        </w:rPr>
        <w:t xml:space="preserve">확인됨</w:t>
      </w:r>
      <w:r>
        <w:t xml:space="preserve"> (집중도 수치 자체는 데이터로 확정) — 단, 회수 가능성 평가는 추가 확인 필요.</w:t>
      </w:r>
    </w:p>
    <w:p>
      <w:pPr>
        <w:jc w:val="both"/>
      </w:pPr>
      <w:r>
        <w:rPr>
          <w:b/>
          <w:color w:val="1B2A4A"/>
        </w:rPr>
        <w:t xml:space="preserve">판별 테스트. </w:t>
      </w:r>
    </w:p>
    <w:p>
      <w:pPr>
        <w:pStyle w:val="ListParagraph"/>
        <w:numPr>
          <w:ilvl w:val="0"/>
          <w:numId w:val="1"/>
        </w:numPr>
        <w:jc w:val="both"/>
      </w:pPr>
      <w:r>
        <w:t xml:space="preserve">에이프릴리테일 여신 한도·담보 설정 내역 확인</w:t>
      </w:r>
    </w:p>
    <w:p>
      <w:pPr>
        <w:pStyle w:val="ListParagraph"/>
        <w:numPr>
          <w:ilvl w:val="0"/>
          <w:numId w:val="1"/>
        </w:numPr>
        <w:jc w:val="both"/>
      </w:pPr>
      <w:r>
        <w:t xml:space="preserve">회수 계획·분할 상환 약정 존재 여부</w:t>
      </w:r>
    </w:p>
    <w:p>
      <w:pPr>
        <w:pStyle w:val="ListParagraph"/>
        <w:numPr>
          <w:ilvl w:val="0"/>
          <w:numId w:val="1"/>
        </w:numPr>
        <w:jc w:val="both"/>
      </w:pPr>
      <w:r>
        <w:t xml:space="preserve">대손충당금이 이 집중도를 반영해 설정됐는지 검토</w:t>
      </w:r>
    </w:p>
    <w:p>
      <w:pPr>
        <w:jc w:val="both"/>
      </w:pPr>
      <w:r>
        <w:rPr>
          <w:b/>
          <w:color w:val="1B2A4A"/>
        </w:rPr>
        <w:t xml:space="preserve">권고 조치. </w:t>
      </w:r>
      <w:r>
        <w:t xml:space="preserve">해당 거래처와의 신규 여신 거래를 담보 확보 전까지 제한하고, 대손충당금 적정성을 재산정하십시오.</w:t>
      </w:r>
    </w:p>
    <w:p>
      <w:pPr>
        <w:pStyle w:val="Heading1"/>
      </w:pPr>
      <w:r>
        <w:rPr>
          <w:b/>
          <w:color w:val="1B2A4A"/>
        </w:rPr>
        <w:t xml:space="preserve">리스크 3 — 원가 배분 왜곡: 보이지 않는 손실 (S3)</w:t>
      </w:r>
    </w:p>
    <w:p>
      <w:pPr>
        <w:jc w:val="both"/>
      </w:pPr>
      <w:r>
        <w:rPr>
          <w:b/>
          <w:color w:val="1B2A4A"/>
        </w:rPr>
        <w:t xml:space="preserve">결론. </w:t>
      </w:r>
      <w:r>
        <w:t xml:space="preserve">현재 배부 기준으로는 흑자로 보고되는 제품C가, 실제 자원 사용량(기계시간) 기준으로 재배부하면 적자로 뒤집힙니다. 흑자 제품이 적자 제품을 가려주고 있을 가능성이 있습니다.</w:t>
      </w:r>
    </w:p>
    <w:p>
      <w:pPr>
        <w:jc w:val="both"/>
      </w:pPr>
      <w:r>
        <w:rPr>
          <w:b/>
        </w:rPr>
        <w:t xml:space="preserve">근거</w:t>
      </w:r>
      <w:r>
        <w:t xml:space="preserve"> (공통원가 총 3,000, 내부 원가 데이터):</w:t>
      </w:r>
    </w:p>
    <w:p>
      <w:pPr>
        <w:pStyle w:val="ListParagraph"/>
        <w:numPr>
          <w:ilvl w:val="0"/>
          <w:numId w:val="1"/>
        </w:numPr>
        <w:jc w:val="both"/>
      </w:pPr>
      <w:r>
        <w:t xml:space="preserve">제품C: 현행 배부율 15% vs 기계시간 점유율 45% — 재배부 시 공통원가 1,350 부담, 보고이익 20 → 재계산 이익 -880 (흑자→적자 전환)</w:t>
      </w:r>
    </w:p>
    <w:p>
      <w:pPr>
        <w:pStyle w:val="ListParagraph"/>
        <w:numPr>
          <w:ilvl w:val="0"/>
          <w:numId w:val="1"/>
        </w:numPr>
        <w:jc w:val="both"/>
      </w:pPr>
      <w:r>
        <w:t xml:space="preserve">제품A: 현행 배부율 50% vs 기계시간 30% — 재계산 시 이익 1,660 → 2,260 (과소평가)</w:t>
      </w:r>
    </w:p>
    <w:p>
      <w:pPr>
        <w:jc w:val="both"/>
      </w:pPr>
      <w:r>
        <w:rPr>
          <w:b/>
          <w:color w:val="1B2A4A"/>
        </w:rPr>
        <w:t xml:space="preserve">왜 문제인가. </w:t>
      </w:r>
      <w:r>
        <w:t xml:space="preserve">배부 기준이 실제 자원 소비와 어긋나면, 자원을 많이 쓰는 제품의 원가가 다른 제품으로 전가됩니다. 그 결과 실제로는 팔수록 손해인 제품C를 "수익 제품"으로 믿고 증산·영업 확대 결정을 내리게 되고, 반대로 진짜 효자인 제품A는 과소평가되어 투자 우선순위에서 밀립니다. 왜곡이 계속되는 한 제품 포트폴리오 의사결정 전체가 잘못된 지도 위에서 이뤄집니다.</w:t>
      </w:r>
    </w:p>
    <w:p>
      <w:pPr>
        <w:jc w:val="both"/>
      </w:pPr>
      <w:r>
        <w:rPr>
          <w:b/>
          <w:color w:val="1B2A4A"/>
        </w:rPr>
        <w:t xml:space="preserve">확신도. </w:t>
      </w:r>
      <w:r>
        <w:rPr>
          <w:b/>
          <w:color w:val="B45309"/>
        </w:rPr>
        <w:t xml:space="preserve">가설</w:t>
      </w:r>
      <w:r>
        <w:t xml:space="preserve"> — 기계시간 기준 재배부 시 적자 전환은 계산으로 확인되나, 기계시간이 실제 자원 소비를 대표하는지는 원천 데이터 검증이 선행돼야 합니다.</w:t>
      </w:r>
    </w:p>
    <w:p>
      <w:pPr>
        <w:jc w:val="both"/>
      </w:pPr>
      <w:r>
        <w:rPr>
          <w:b/>
          <w:color w:val="1B2A4A"/>
        </w:rPr>
        <w:t xml:space="preserve">판별 테스트. </w:t>
      </w:r>
    </w:p>
    <w:p>
      <w:pPr>
        <w:pStyle w:val="ListParagraph"/>
        <w:numPr>
          <w:ilvl w:val="0"/>
          <w:numId w:val="1"/>
        </w:numPr>
        <w:jc w:val="both"/>
      </w:pPr>
      <w:r>
        <w:t xml:space="preserve">기계시간 로그 원천 데이터로 배부율 재산정 — 45% 점유가 실측과 일치하면 가설 강화</w:t>
      </w:r>
    </w:p>
    <w:p>
      <w:pPr>
        <w:pStyle w:val="ListParagraph"/>
        <w:numPr>
          <w:ilvl w:val="0"/>
          <w:numId w:val="1"/>
        </w:numPr>
        <w:jc w:val="both"/>
      </w:pPr>
      <w:r>
        <w:t xml:space="preserve">활동기준원가(ABC) 시범 적용으로 교차 검증</w:t>
      </w:r>
    </w:p>
    <w:p>
      <w:pPr>
        <w:jc w:val="both"/>
      </w:pPr>
      <w:r>
        <w:rPr>
          <w:b/>
          <w:color w:val="1B2A4A"/>
        </w:rPr>
        <w:t xml:space="preserve">권고 조치. </w:t>
      </w:r>
      <w:r>
        <w:t xml:space="preserve">제품C의 가격 인상·생산 조정·철수 검토를 배부율 재검증 완료 후 즉시 착수할 수 있게 준비하십시오.</w:t>
      </w:r>
    </w:p>
    <w:p>
      <w:pPr>
        <w:pStyle w:val="Heading1"/>
      </w:pPr>
      <w:r>
        <w:rPr>
          <w:b/>
          <w:color w:val="1B2A4A"/>
        </w:rPr>
        <w:t xml:space="preserve">리스크 4 — 차입 의존 성장과 금리 노출 (S4)</w:t>
      </w:r>
    </w:p>
    <w:p>
      <w:pPr>
        <w:jc w:val="both"/>
      </w:pPr>
      <w:r>
        <w:rPr>
          <w:b/>
          <w:color w:val="1B2A4A"/>
        </w:rPr>
        <w:t xml:space="preserve">결론. </w:t>
      </w:r>
      <w:r>
        <w:t xml:space="preserve">최근 1년간 성장이 변동금리 차입으로 조달되고 있고, 이자를 감당하는 체력(이자보상배율)이 빠르게 얇아지고 있습니다.</w:t>
      </w:r>
    </w:p>
    <w:p>
      <w:pPr>
        <w:jc w:val="both"/>
      </w:pPr>
      <w:r>
        <w:rPr>
          <w:b/>
        </w:rPr>
        <w:t xml:space="preserve">근거</w:t>
      </w:r>
      <w:r>
        <w:t xml:space="preserve"> (2025Q3→2026Q2, 내부 차입 데이터):</w:t>
      </w:r>
    </w:p>
    <w:p>
      <w:pPr>
        <w:pStyle w:val="ListParagraph"/>
        <w:numPr>
          <w:ilvl w:val="0"/>
          <w:numId w:val="1"/>
        </w:numPr>
        <w:jc w:val="both"/>
      </w:pPr>
      <w:r>
        <w:t xml:space="preserve">변동금리 차입금 6,000→14,500 — 141.7% 증가 (임계 50% 초과)</w:t>
      </w:r>
    </w:p>
    <w:p>
      <w:pPr>
        <w:pStyle w:val="ListParagraph"/>
        <w:numPr>
          <w:ilvl w:val="0"/>
          <w:numId w:val="1"/>
        </w:numPr>
        <w:jc w:val="both"/>
      </w:pPr>
      <w:r>
        <w:t xml:space="preserve">이자보상배율 23.9→8.9배 — 62.8% 하락 (임계 40% 초과)</w:t>
      </w:r>
    </w:p>
    <w:p>
      <w:pPr>
        <w:jc w:val="both"/>
      </w:pPr>
      <w:r>
        <w:rPr>
          <w:b/>
          <w:color w:val="1B2A4A"/>
        </w:rPr>
        <w:t xml:space="preserve">왜 문제인가. </w:t>
      </w:r>
      <w:r>
        <w:t xml:space="preserve">차입 자체보다 조합이 문제입니다. 늘어난 차입의 대부분이 변동금리라서 금리가 오르면 이자 부담이 자동으로 커지는데, 그 부담을 흡수할 이자보상배율은 이미 1년 새 3분의 1 수준으로 줄었습니다. 여기에 리스크 1의 영업현금흐름 -310 전환이 겹치면, 이자는 늘고 갚을 현금은 줄어드는 양방향 압박이 됩니다. 지금 배율 8.9배는 아직 여유가 있어 보이지만, 하락 속도가 유지되면 여유가 빠르게 소진됩니다.</w:t>
      </w:r>
    </w:p>
    <w:p>
      <w:pPr>
        <w:jc w:val="both"/>
      </w:pPr>
      <w:r>
        <w:rPr>
          <w:b/>
          <w:color w:val="1B2A4A"/>
        </w:rPr>
        <w:t xml:space="preserve">확신도. </w:t>
      </w:r>
      <w:r>
        <w:rPr>
          <w:b/>
          <w:color w:val="1F7A33"/>
        </w:rPr>
        <w:t xml:space="preserve">확인됨</w:t>
      </w:r>
      <w:r>
        <w:t xml:space="preserve"> (차입 잔액·배율 수치는 데이터로 확정) — 향후 압박 시나리오는 금리 경로에 따른 전망입니다.</w:t>
      </w:r>
    </w:p>
    <w:p>
      <w:pPr>
        <w:jc w:val="both"/>
      </w:pPr>
      <w:r>
        <w:rPr>
          <w:b/>
          <w:color w:val="1B2A4A"/>
        </w:rPr>
        <w:t xml:space="preserve">판별 테스트. </w:t>
      </w:r>
    </w:p>
    <w:p>
      <w:pPr>
        <w:pStyle w:val="ListParagraph"/>
        <w:numPr>
          <w:ilvl w:val="0"/>
          <w:numId w:val="1"/>
        </w:numPr>
        <w:jc w:val="both"/>
      </w:pPr>
      <w:r>
        <w:t xml:space="preserve">차입 약정서에서 변동/고정 금리 조건과 금리 재설정 주기 확인</w:t>
      </w:r>
    </w:p>
    <w:p>
      <w:pPr>
        <w:pStyle w:val="ListParagraph"/>
        <w:numPr>
          <w:ilvl w:val="0"/>
          <w:numId w:val="1"/>
        </w:numPr>
        <w:jc w:val="both"/>
      </w:pPr>
      <w:r>
        <w:t xml:space="preserve">금리 헤지(IRS 등) 계약 존재 여부 확인 — 헤지가 있다면 노출은 명목보다 작음</w:t>
      </w:r>
    </w:p>
    <w:p>
      <w:pPr>
        <w:pStyle w:val="ListParagraph"/>
        <w:numPr>
          <w:ilvl w:val="0"/>
          <w:numId w:val="1"/>
        </w:numPr>
        <w:jc w:val="both"/>
      </w:pPr>
      <w:r>
        <w:t xml:space="preserve">차입 상환 스케줄과 향후 4분기 현금흐름 전망 대사</w:t>
      </w:r>
    </w:p>
    <w:p>
      <w:pPr>
        <w:jc w:val="both"/>
      </w:pPr>
      <w:r>
        <w:rPr>
          <w:b/>
          <w:color w:val="1B2A4A"/>
        </w:rPr>
        <w:t xml:space="preserve">권고 조치. </w:t>
      </w:r>
      <w:r>
        <w:t xml:space="preserve">변동금리 잔액 14,500에 대한 헤지 비율을 확인하고, 미헤지 상태라면 고정 전환·IRS 체결을 재무 라인에 검토 지시하십시오.</w:t>
      </w:r>
    </w:p>
    <w:p>
      <w:pPr>
        <w:pStyle w:val="Heading1"/>
      </w:pPr>
      <w:r>
        <w:rPr>
          <w:b/>
          <w:color w:val="1B2A4A"/>
        </w:rPr>
        <w:t xml:space="preserve">확인 범위와 한계</w:t>
      </w:r>
    </w:p>
    <w:p>
      <w:pPr>
        <w:pStyle w:val="ListParagraph"/>
        <w:numPr>
          <w:ilvl w:val="0"/>
          <w:numId w:val="1"/>
        </w:numPr>
        <w:jc w:val="both"/>
      </w:pPr>
      <w:r>
        <w:t xml:space="preserve">본 브리핑의 모든 수치는 불변식 게이트(INV-1~7)를 통과한 내부 데이터에서 결정론적으로 파생된 것이며, 원천 전표·계약서 수준의 실사는 수행되지 않았습니다.</w:t>
      </w:r>
    </w:p>
    <w:p>
      <w:pPr>
        <w:pStyle w:val="ListParagraph"/>
        <w:numPr>
          <w:ilvl w:val="0"/>
          <w:numId w:val="1"/>
        </w:numPr>
        <w:jc w:val="both"/>
      </w:pPr>
      <w:r>
        <w:t xml:space="preserve">리스크 1(수익 조기 인식)과 리스크 3(원가 배분 왜곡)은 데이터 패턴에 기반한 가설 단계로, 각 판별 테스트 결과에 따라 기각될 수 있습니다. 회계 처리의 적정성·위법성에 대한 판단은 본 브리핑의 범위가 아닙니다.</w:t>
      </w:r>
    </w:p>
    <w:p>
      <w:pPr>
        <w:pStyle w:val="ListParagraph"/>
        <w:numPr>
          <w:ilvl w:val="0"/>
          <w:numId w:val="1"/>
        </w:numPr>
        <w:jc w:val="both"/>
      </w:pPr>
      <w:r>
        <w:t xml:space="preserve">리스크 2·4는 수치 자체는 확정이나, 회수 가능성·금리 경로 등 미래 전개는 추가 정보에 의존합니다.</w:t>
      </w:r>
    </w:p>
    <w:p>
      <w:pPr>
        <w:pStyle w:val="ListParagraph"/>
        <w:numPr>
          <w:ilvl w:val="0"/>
          <w:numId w:val="1"/>
        </w:numPr>
        <w:jc w:val="both"/>
      </w:pPr>
      <w:r>
        <w:t xml:space="preserve">진단은 2026Q2 기준 시점 데이터에 한정되며, 이후 발생한 거래·약정 변경은 반영되지 않았습니다.</w:t>
      </w:r>
    </w:p>
    <w:p>
      <w:pPr>
        <w:pStyle w:val="ListParagraph"/>
        <w:numPr>
          <w:ilvl w:val="0"/>
          <w:numId w:val="1"/>
        </w:numPr>
        <w:jc w:val="both"/>
      </w:pPr>
      <w:r>
        <w:t xml:space="preserve">네 리스크는 상호 연결되어 있을 수 있습니다(채권 급증 ↔ 단일 거래처 집중 ↔ 현금흐름 악화 ↔ 차입 확대). 개별 대응보다 통합 점검을 권합니다.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본 문서는 CEO 경영 판단 보조 자료이며 투자자문·투자권유가 아닙니다 · Trusted CEO Agent</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서명용 리스크 브리핑</w:t>
    </w:r>
    <w:r>
      <w:rPr>
        <w:color w:val="A6A6A6"/>
        <w:sz w:val="16"/>
      </w:rPr>
      <w:tab/>
    </w:r>
    <w:r>
      <w:rPr>
        <w:b/>
        <w:color w:val="D04A02"/>
        <w:sz w:val="16"/>
      </w:rPr>
      <w:t>대외비</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리스크 브리핑</dc:title>
  <dc:creator>Trusted CEO Agent</dc:creator>
  <cp:lastModifiedBy>Trusted CEO Agent</cp:lastModifiedBy>
  <dcterms:created xsi:type="dcterms:W3CDTF">2026-07-10T00:00:00Z</dcterms:created>
  <dcterms:modified xsi:type="dcterms:W3CDTF">2026-07-10T00:00:00Z</dcterms:modified>
</cp:coreProperties>
</file>