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spacing w:before="0" w:after="120"/>
      </w:pPr>
      <w:r>
        <w:rPr>
          <w:rFonts w:ascii="Malgun Gothic" w:eastAsia="Malgun Gothic" w:hAnsi="Malgun Gothic"/>
          <w:b/>
          <w:color w:val="1A466B"/>
          <w:sz w:val="32"/>
          <w:szCs w:val="32"/>
        </w:rPr>
        <w:t xml:space="preserve">산업군별 투자 규칙 충족도 리포트</w:t>
      </w:r>
    </w:p>
    <w:p>
      <w:pPr>
        <w:spacing w:before="0" w:after="120"/>
      </w:pPr>
      <w:r>
        <w:rPr>
          <w:rFonts w:ascii="Malgun Gothic" w:eastAsia="Malgun Gothic" w:hAnsi="Malgun Gothic"/>
          <w:sz w:val="20"/>
          <w:szCs w:val="20"/>
        </w:rPr>
        <w:t xml:space="preserve">생성: 2026. 7. 11. 오전 1:56:11 · 유니버스: krx-top-demo-universe 66종목 · 재무 기준: 2026-07-10 DART 수집 · kakaopay-invest-companion</w:t>
      </w:r>
    </w:p>
    <w:p>
      <w:pPr>
        <w:spacing w:before="0" w:after="120"/>
      </w:pPr>
      <w:r>
        <w:rPr>
          <w:rFonts w:ascii="Malgun Gothic" w:eastAsia="Malgun Gothic" w:hAnsi="Malgun Gothic"/>
          <w:i/>
          <w:sz w:val="20"/>
          <w:szCs w:val="20"/>
        </w:rPr>
        <w:t xml:space="preserve">점수는 "투자적합도 예측"이 아니라 규칙 충족 개수입니다 — 산업군을 추천하는 표가 아니라, 어느 산업군이 어느 시기에 규칙을 잃었는지 보여주는 표입니다.</w:t>
      </w:r>
    </w:p>
    <w:p>
      <w:pPr>
        <w:spacing w:before="240" w:after="120"/>
      </w:pPr>
      <w:r>
        <w:rPr>
          <w:rFonts w:ascii="Malgun Gothic" w:eastAsia="Malgun Gothic" w:hAnsi="Malgun Gothic"/>
          <w:b/>
          <w:sz w:val="26"/>
          <w:szCs w:val="26"/>
        </w:rPr>
        <w:t xml:space="preserve">요약 — 산업군 × 시기</w:t>
      </w:r>
    </w:p>
    <w:tbl>
      <w:tblPr>
        <w:tblW w:w="0" w:type="auto"/>
        <w:tblBorders>
          <w:top w:val="single" w:sz="4" w:space="0" w:color="BFC8D0"/>
          <w:left w:val="single" w:sz="4" w:space="0" w:color="BFC8D0"/>
          <w:bottom w:val="single" w:sz="4" w:space="0" w:color="BFC8D0"/>
          <w:right w:val="single" w:sz="4" w:space="0" w:color="BFC8D0"/>
          <w:insideH w:val="single" w:sz="4" w:space="0" w:color="BFC8D0"/>
          <w:insideV w:val="single" w:sz="4" w:space="0" w:color="BFC8D0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/>
        </w:trPr>
        <w:tc>
          <w:tcPr>
            <w:tcW w:w="0" w:type="auto"/>
            <w:shd w:val="clear" w:color="auto" w:fill="1A466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  <w:szCs w:val="20"/>
              </w:rPr>
              <w:t xml:space="preserve">산업군</w:t>
            </w:r>
          </w:p>
        </w:tc>
        <w:tc>
          <w:tcPr>
            <w:tcW w:w="0" w:type="auto"/>
            <w:shd w:val="clear" w:color="auto" w:fill="1A466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  <w:szCs w:val="20"/>
              </w:rPr>
              <w:t xml:space="preserve">2023 연간</w:t>
            </w:r>
          </w:p>
        </w:tc>
        <w:tc>
          <w:tcPr>
            <w:tcW w:w="0" w:type="auto"/>
            <w:shd w:val="clear" w:color="auto" w:fill="1A466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  <w:szCs w:val="20"/>
              </w:rPr>
              <w:t xml:space="preserve">2024 연간</w:t>
            </w:r>
          </w:p>
        </w:tc>
        <w:tc>
          <w:tcPr>
            <w:tcW w:w="0" w:type="auto"/>
            <w:shd w:val="clear" w:color="auto" w:fill="1A466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  <w:szCs w:val="20"/>
              </w:rPr>
              <w:t xml:space="preserve">2025 연간</w:t>
            </w:r>
          </w:p>
        </w:tc>
        <w:tc>
          <w:tcPr>
            <w:tcW w:w="0" w:type="auto"/>
            <w:shd w:val="clear" w:color="auto" w:fill="1A466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  <w:szCs w:val="20"/>
              </w:rPr>
              <w:t xml:space="preserve">2026 1분기</w:t>
            </w:r>
          </w:p>
        </w:tc>
        <w:tc>
          <w:tcPr>
            <w:tcW w:w="0" w:type="auto"/>
            <w:shd w:val="clear" w:color="auto" w:fill="1A466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  <w:szCs w:val="20"/>
              </w:rPr>
              <w:t xml:space="preserve">뉴스 악재 (최근 30일)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반도체·IT장비 (6)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2.5/5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4.6/5 ▲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4.7/5 ─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4.7/5 ─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신호 없음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2차전지 (5)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3.6/5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1.4/5 ▼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3.2/5 ▲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3.2/5 ─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신호 없음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바이오·제약 (7)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3.7/5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4.1/5 ▲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4.6/5 ▲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4.1/5 ▼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신호 없음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자동차 (4)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4.8/5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4.5/5 ▼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4.5/5 ─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4.5/5 ─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2종목 (기사 2건)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플랫폼·IT서비스 (3)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3.7/5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4.3/5 ▲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5.0/5 ▲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4.0/5 ▼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신호 없음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소재·화학 (5)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2.4/5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2.4/5 ─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2.6/5 ─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3.8/5 ▲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신호 없음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금융 † (10)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4.0/5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4.5/5 ▲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4.5/5 ─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4.4/5 ─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신호 없음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지주·상사·운송 (4)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3.0/5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3.8/5 ▲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3.3/5 ▼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3.8/5 ▲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신호 없음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가전·소비재 (3)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3.0/5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4.3/5 ▲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4.3/5 ─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5.0/5 ▲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신호 없음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통신·유틸리티 (3)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3.7/5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4.0/5 ▲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4.0/5 ─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3.3/5 ▼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신호 없음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조선·방산·기계 (9)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3.6/5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4.0/5 ▲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4.2/5 ─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4.4/5 ─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신호 없음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게임·엔터 (7)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3.6/5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3.4/5 ─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3.1/5 ▼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4.0/5 ▲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신호 없음</w:t>
            </w:r>
          </w:p>
        </w:tc>
      </w:tr>
    </w:tbl>
    <w:p>
      <w:pPr>
        <w:spacing w:after="120"/>
      </w:pPr>
    </w:p>
    <w:p>
      <w:pPr>
        <w:spacing w:before="0" w:after="120"/>
      </w:pPr>
      <w:r>
        <w:rPr>
          <w:rFonts w:ascii="Malgun Gothic" w:eastAsia="Malgun Gothic" w:hAnsi="Malgun Gothic"/>
          <w:sz w:val="20"/>
          <w:szCs w:val="20"/>
        </w:rPr>
        <w:t xml:space="preserve">▲/▼ 직전 시기 대비 ±0.3 이상 변화 · † 금융업은 부채비율 규칙 제외(4개 규칙 기준 정규화) · 괄호는 종목 수</w:t>
      </w:r>
    </w:p>
    <w:p>
      <w:pPr>
        <w:spacing w:before="240" w:after="120"/>
      </w:pPr>
      <w:r>
        <w:rPr>
          <w:rFonts w:ascii="Malgun Gothic" w:eastAsia="Malgun Gothic" w:hAnsi="Malgun Gothic"/>
          <w:b/>
          <w:sz w:val="26"/>
          <w:szCs w:val="26"/>
        </w:rPr>
        <w:t xml:space="preserve">규칙 정의 (5종)</w:t>
      </w:r>
    </w:p>
    <w:p>
      <w:pPr>
        <w:spacing w:before="0" w:after="60"/>
      </w:pPr>
      <w:r>
        <w:rPr>
          <w:rFonts w:ascii="Malgun Gothic" w:eastAsia="Malgun Gothic" w:hAnsi="Malgun Gothic"/>
          <w:sz w:val="20"/>
          <w:szCs w:val="20"/>
        </w:rPr>
        <w:t xml:space="preserve">•  매출 성장 — 당기 매출(영업수익) &gt; 전기</w:t>
      </w:r>
    </w:p>
    <w:p>
      <w:pPr>
        <w:spacing w:before="0" w:after="60"/>
      </w:pPr>
      <w:r>
        <w:rPr>
          <w:rFonts w:ascii="Malgun Gothic" w:eastAsia="Malgun Gothic" w:hAnsi="Malgun Gothic"/>
          <w:sz w:val="20"/>
          <w:szCs w:val="20"/>
        </w:rPr>
        <w:t xml:space="preserve">•  영업이익 성장 — 당기 영업이익 &gt; 전기</w:t>
      </w:r>
    </w:p>
    <w:p>
      <w:pPr>
        <w:spacing w:before="0" w:after="60"/>
      </w:pPr>
      <w:r>
        <w:rPr>
          <w:rFonts w:ascii="Malgun Gothic" w:eastAsia="Malgun Gothic" w:hAnsi="Malgun Gothic"/>
          <w:sz w:val="20"/>
          <w:szCs w:val="20"/>
        </w:rPr>
        <w:t xml:space="preserve">•  영업이익률 ≥ 5% — 영업이익 / 매출 ≥ 5%</w:t>
      </w:r>
    </w:p>
    <w:p>
      <w:pPr>
        <w:spacing w:before="0" w:after="60"/>
      </w:pPr>
      <w:r>
        <w:rPr>
          <w:rFonts w:ascii="Malgun Gothic" w:eastAsia="Malgun Gothic" w:hAnsi="Malgun Gothic"/>
          <w:sz w:val="20"/>
          <w:szCs w:val="20"/>
        </w:rPr>
        <w:t xml:space="preserve">•  순이익 흑자 — 당기순이익 &gt; 0</w:t>
      </w:r>
    </w:p>
    <w:p>
      <w:pPr>
        <w:spacing w:before="0" w:after="60"/>
      </w:pPr>
      <w:r>
        <w:rPr>
          <w:rFonts w:ascii="Malgun Gothic" w:eastAsia="Malgun Gothic" w:hAnsi="Malgun Gothic"/>
          <w:sz w:val="20"/>
          <w:szCs w:val="20"/>
        </w:rPr>
        <w:t xml:space="preserve">•  부채비율 ≤ 200% — 부채총계/자본총계 ≤ 200% (금융업 N/A)</w:t>
      </w:r>
    </w:p>
    <w:p>
      <w:pPr>
        <w:spacing w:before="0" w:after="120"/>
      </w:pPr>
      <w:r>
        <w:rPr>
          <w:rFonts w:ascii="Malgun Gothic" w:eastAsia="Malgun Gothic" w:hAnsi="Malgun Gothic"/>
          <w:sz w:val="20"/>
          <w:szCs w:val="20"/>
        </w:rPr>
        <w:t xml:space="preserve">뉴스 축은 시기별로 제공하지 않습니다 — 뉴스 검색은 과거 시점 소급 조회가 불가능해, 지어내는 대신 "현재 기준 최근 30일" 한 칸만 제공합니다 (유상증자·횡령·거래정지 보도 중 기사 제목에 종목명과 키워드가 동시에 등장하는 것만 집계). 이 신호는 악재 확정이 아닙니다 — 제목 키워드 매칭의 한계(타사 이벤트 언급 등)가 있으므로 아래 상세의 기사 원문으로 반드시 재확인하세요.</w:t>
      </w:r>
    </w:p>
    <w:p>
      <w:pPr>
        <w:spacing w:before="240" w:after="120"/>
      </w:pPr>
      <w:r>
        <w:rPr>
          <w:rFonts w:ascii="Malgun Gothic" w:eastAsia="Malgun Gothic" w:hAnsi="Malgun Gothic"/>
          <w:b/>
          <w:sz w:val="26"/>
          <w:szCs w:val="26"/>
        </w:rPr>
        <w:t xml:space="preserve">산업군 상세 (종목별)</w:t>
      </w:r>
    </w:p>
    <w:p>
      <w:pPr>
        <w:spacing w:before="240" w:after="120"/>
      </w:pPr>
      <w:r>
        <w:rPr>
          <w:rFonts w:ascii="Malgun Gothic" w:eastAsia="Malgun Gothic" w:hAnsi="Malgun Gothic"/>
          <w:b/>
          <w:sz w:val="22"/>
          <w:szCs w:val="22"/>
        </w:rPr>
        <w:t xml:space="preserve">반도체·IT장비 — 6종목</w:t>
      </w:r>
    </w:p>
    <w:tbl>
      <w:tblPr>
        <w:tblW w:w="0" w:type="auto"/>
        <w:tblBorders>
          <w:top w:val="single" w:sz="4" w:space="0" w:color="BFC8D0"/>
          <w:left w:val="single" w:sz="4" w:space="0" w:color="BFC8D0"/>
          <w:bottom w:val="single" w:sz="4" w:space="0" w:color="BFC8D0"/>
          <w:right w:val="single" w:sz="4" w:space="0" w:color="BFC8D0"/>
          <w:insideH w:val="single" w:sz="4" w:space="0" w:color="BFC8D0"/>
          <w:insideV w:val="single" w:sz="4" w:space="0" w:color="BFC8D0"/>
        </w:tblBorders>
      </w:tblPr>
      <w:tblGrid>
        <w:gridCol w:w="1927"/>
        <w:gridCol w:w="1927"/>
        <w:gridCol w:w="1927"/>
        <w:gridCol w:w="1927"/>
        <w:gridCol w:w="1927"/>
      </w:tblGrid>
      <w:tr>
        <w:trPr>
          <w:tblHeader/>
        </w:trPr>
        <w:tc>
          <w:tcPr>
            <w:tcW w:w="0" w:type="auto"/>
            <w:shd w:val="clear" w:color="auto" w:fill="1A466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  <w:szCs w:val="20"/>
              </w:rPr>
              <w:t xml:space="preserve">종목</w:t>
            </w:r>
          </w:p>
        </w:tc>
        <w:tc>
          <w:tcPr>
            <w:tcW w:w="0" w:type="auto"/>
            <w:shd w:val="clear" w:color="auto" w:fill="1A466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  <w:szCs w:val="20"/>
              </w:rPr>
              <w:t xml:space="preserve">2023 연간</w:t>
            </w:r>
          </w:p>
        </w:tc>
        <w:tc>
          <w:tcPr>
            <w:tcW w:w="0" w:type="auto"/>
            <w:shd w:val="clear" w:color="auto" w:fill="1A466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  <w:szCs w:val="20"/>
              </w:rPr>
              <w:t xml:space="preserve">2024 연간</w:t>
            </w:r>
          </w:p>
        </w:tc>
        <w:tc>
          <w:tcPr>
            <w:tcW w:w="0" w:type="auto"/>
            <w:shd w:val="clear" w:color="auto" w:fill="1A466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  <w:szCs w:val="20"/>
              </w:rPr>
              <w:t xml:space="preserve">2025 연간</w:t>
            </w:r>
          </w:p>
        </w:tc>
        <w:tc>
          <w:tcPr>
            <w:tcW w:w="0" w:type="auto"/>
            <w:shd w:val="clear" w:color="auto" w:fill="1A466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  <w:szCs w:val="20"/>
              </w:rPr>
              <w:t xml:space="preserve">2026 1분기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삼성전자 (005930)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2/5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5/5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5/5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5/5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SK하이닉스 (000660)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1/5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5/5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5/5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5/5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삼성전기 (009150)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3/5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5/5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5/5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5/5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리노공업 (058470)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3/5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5/5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5/5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5/5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원익IPS (240810)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1/5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4/5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5/5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5/5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HPSP (403870)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5/5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2/3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3/5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3/5</w:t>
            </w:r>
          </w:p>
        </w:tc>
      </w:tr>
    </w:tbl>
    <w:p>
      <w:pPr>
        <w:spacing w:after="120"/>
      </w:pPr>
    </w:p>
    <w:p>
      <w:pPr>
        <w:spacing w:before="240" w:after="120"/>
      </w:pPr>
      <w:r>
        <w:rPr>
          <w:rFonts w:ascii="Malgun Gothic" w:eastAsia="Malgun Gothic" w:hAnsi="Malgun Gothic"/>
          <w:b/>
          <w:sz w:val="22"/>
          <w:szCs w:val="22"/>
        </w:rPr>
        <w:t xml:space="preserve">2차전지 — 5종목</w:t>
      </w:r>
    </w:p>
    <w:tbl>
      <w:tblPr>
        <w:tblW w:w="0" w:type="auto"/>
        <w:tblBorders>
          <w:top w:val="single" w:sz="4" w:space="0" w:color="BFC8D0"/>
          <w:left w:val="single" w:sz="4" w:space="0" w:color="BFC8D0"/>
          <w:bottom w:val="single" w:sz="4" w:space="0" w:color="BFC8D0"/>
          <w:right w:val="single" w:sz="4" w:space="0" w:color="BFC8D0"/>
          <w:insideH w:val="single" w:sz="4" w:space="0" w:color="BFC8D0"/>
          <w:insideV w:val="single" w:sz="4" w:space="0" w:color="BFC8D0"/>
        </w:tblBorders>
      </w:tblPr>
      <w:tblGrid>
        <w:gridCol w:w="1927"/>
        <w:gridCol w:w="1927"/>
        <w:gridCol w:w="1927"/>
        <w:gridCol w:w="1927"/>
        <w:gridCol w:w="1927"/>
      </w:tblGrid>
      <w:tr>
        <w:trPr>
          <w:tblHeader/>
        </w:trPr>
        <w:tc>
          <w:tcPr>
            <w:tcW w:w="0" w:type="auto"/>
            <w:shd w:val="clear" w:color="auto" w:fill="1A466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  <w:szCs w:val="20"/>
              </w:rPr>
              <w:t xml:space="preserve">종목</w:t>
            </w:r>
          </w:p>
        </w:tc>
        <w:tc>
          <w:tcPr>
            <w:tcW w:w="0" w:type="auto"/>
            <w:shd w:val="clear" w:color="auto" w:fill="1A466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  <w:szCs w:val="20"/>
              </w:rPr>
              <w:t xml:space="preserve">2023 연간</w:t>
            </w:r>
          </w:p>
        </w:tc>
        <w:tc>
          <w:tcPr>
            <w:tcW w:w="0" w:type="auto"/>
            <w:shd w:val="clear" w:color="auto" w:fill="1A466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  <w:szCs w:val="20"/>
              </w:rPr>
              <w:t xml:space="preserve">2024 연간</w:t>
            </w:r>
          </w:p>
        </w:tc>
        <w:tc>
          <w:tcPr>
            <w:tcW w:w="0" w:type="auto"/>
            <w:shd w:val="clear" w:color="auto" w:fill="1A466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  <w:szCs w:val="20"/>
              </w:rPr>
              <w:t xml:space="preserve">2025 연간</w:t>
            </w:r>
          </w:p>
        </w:tc>
        <w:tc>
          <w:tcPr>
            <w:tcW w:w="0" w:type="auto"/>
            <w:shd w:val="clear" w:color="auto" w:fill="1A466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  <w:szCs w:val="20"/>
              </w:rPr>
              <w:t xml:space="preserve">2026 1분기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LG에너지솔루션 (373220)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5/5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2/5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4/5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1/5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삼성SDI (006400)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4/5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2/5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1/5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4/5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포스코퓨처엠 (003670)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3/5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1/5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3/5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3/5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에코프로비엠 (247540)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3/5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1/5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4/5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3/5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에코프로 (086520)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3/5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1/5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4/5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5/5</w:t>
            </w:r>
          </w:p>
        </w:tc>
      </w:tr>
    </w:tbl>
    <w:p>
      <w:pPr>
        <w:spacing w:after="120"/>
      </w:pPr>
    </w:p>
    <w:p>
      <w:pPr>
        <w:spacing w:before="240" w:after="120"/>
      </w:pPr>
      <w:r>
        <w:rPr>
          <w:rFonts w:ascii="Malgun Gothic" w:eastAsia="Malgun Gothic" w:hAnsi="Malgun Gothic"/>
          <w:b/>
          <w:sz w:val="22"/>
          <w:szCs w:val="22"/>
        </w:rPr>
        <w:t xml:space="preserve">바이오·제약 — 7종목</w:t>
      </w:r>
    </w:p>
    <w:tbl>
      <w:tblPr>
        <w:tblW w:w="0" w:type="auto"/>
        <w:tblBorders>
          <w:top w:val="single" w:sz="4" w:space="0" w:color="BFC8D0"/>
          <w:left w:val="single" w:sz="4" w:space="0" w:color="BFC8D0"/>
          <w:bottom w:val="single" w:sz="4" w:space="0" w:color="BFC8D0"/>
          <w:right w:val="single" w:sz="4" w:space="0" w:color="BFC8D0"/>
          <w:insideH w:val="single" w:sz="4" w:space="0" w:color="BFC8D0"/>
          <w:insideV w:val="single" w:sz="4" w:space="0" w:color="BFC8D0"/>
        </w:tblBorders>
      </w:tblPr>
      <w:tblGrid>
        <w:gridCol w:w="1927"/>
        <w:gridCol w:w="1927"/>
        <w:gridCol w:w="1927"/>
        <w:gridCol w:w="1927"/>
        <w:gridCol w:w="1927"/>
      </w:tblGrid>
      <w:tr>
        <w:trPr>
          <w:tblHeader/>
        </w:trPr>
        <w:tc>
          <w:tcPr>
            <w:tcW w:w="0" w:type="auto"/>
            <w:shd w:val="clear" w:color="auto" w:fill="1A466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  <w:szCs w:val="20"/>
              </w:rPr>
              <w:t xml:space="preserve">종목</w:t>
            </w:r>
          </w:p>
        </w:tc>
        <w:tc>
          <w:tcPr>
            <w:tcW w:w="0" w:type="auto"/>
            <w:shd w:val="clear" w:color="auto" w:fill="1A466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  <w:szCs w:val="20"/>
              </w:rPr>
              <w:t xml:space="preserve">2023 연간</w:t>
            </w:r>
          </w:p>
        </w:tc>
        <w:tc>
          <w:tcPr>
            <w:tcW w:w="0" w:type="auto"/>
            <w:shd w:val="clear" w:color="auto" w:fill="1A466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  <w:szCs w:val="20"/>
              </w:rPr>
              <w:t xml:space="preserve">2024 연간</w:t>
            </w:r>
          </w:p>
        </w:tc>
        <w:tc>
          <w:tcPr>
            <w:tcW w:w="0" w:type="auto"/>
            <w:shd w:val="clear" w:color="auto" w:fill="1A466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  <w:szCs w:val="20"/>
              </w:rPr>
              <w:t xml:space="preserve">2025 연간</w:t>
            </w:r>
          </w:p>
        </w:tc>
        <w:tc>
          <w:tcPr>
            <w:tcW w:w="0" w:type="auto"/>
            <w:shd w:val="clear" w:color="auto" w:fill="1A466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  <w:szCs w:val="20"/>
              </w:rPr>
              <w:t xml:space="preserve">2026 1분기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삼성바이오로직스 (207940)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5/5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5/5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5/5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5/5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셀트리온 (068270)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4/5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4/5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5/5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5/5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유한양행 (000100)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4/5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3/5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4/5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4/5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한미약품 (128940)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5/5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4/5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5/5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4/5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알테오젠 (196170)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3/5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5/5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5/5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3/5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HLB (028300)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1/5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3/5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3/5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3/5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셀트리온제약 (068760)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4/5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5/5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5/5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5/5</w:t>
            </w:r>
          </w:p>
        </w:tc>
      </w:tr>
    </w:tbl>
    <w:p>
      <w:pPr>
        <w:spacing w:after="120"/>
      </w:pPr>
    </w:p>
    <w:p>
      <w:pPr>
        <w:spacing w:before="240" w:after="120"/>
      </w:pPr>
      <w:r>
        <w:rPr>
          <w:rFonts w:ascii="Malgun Gothic" w:eastAsia="Malgun Gothic" w:hAnsi="Malgun Gothic"/>
          <w:b/>
          <w:sz w:val="22"/>
          <w:szCs w:val="22"/>
        </w:rPr>
        <w:t xml:space="preserve">자동차 — 4종목</w:t>
      </w:r>
    </w:p>
    <w:tbl>
      <w:tblPr>
        <w:tblW w:w="0" w:type="auto"/>
        <w:tblBorders>
          <w:top w:val="single" w:sz="4" w:space="0" w:color="BFC8D0"/>
          <w:left w:val="single" w:sz="4" w:space="0" w:color="BFC8D0"/>
          <w:bottom w:val="single" w:sz="4" w:space="0" w:color="BFC8D0"/>
          <w:right w:val="single" w:sz="4" w:space="0" w:color="BFC8D0"/>
          <w:insideH w:val="single" w:sz="4" w:space="0" w:color="BFC8D0"/>
          <w:insideV w:val="single" w:sz="4" w:space="0" w:color="BFC8D0"/>
        </w:tblBorders>
      </w:tblPr>
      <w:tblGrid>
        <w:gridCol w:w="1927"/>
        <w:gridCol w:w="1927"/>
        <w:gridCol w:w="1927"/>
        <w:gridCol w:w="1927"/>
        <w:gridCol w:w="1927"/>
      </w:tblGrid>
      <w:tr>
        <w:trPr>
          <w:tblHeader/>
        </w:trPr>
        <w:tc>
          <w:tcPr>
            <w:tcW w:w="0" w:type="auto"/>
            <w:shd w:val="clear" w:color="auto" w:fill="1A466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  <w:szCs w:val="20"/>
              </w:rPr>
              <w:t xml:space="preserve">종목</w:t>
            </w:r>
          </w:p>
        </w:tc>
        <w:tc>
          <w:tcPr>
            <w:tcW w:w="0" w:type="auto"/>
            <w:shd w:val="clear" w:color="auto" w:fill="1A466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  <w:szCs w:val="20"/>
              </w:rPr>
              <w:t xml:space="preserve">2023 연간</w:t>
            </w:r>
          </w:p>
        </w:tc>
        <w:tc>
          <w:tcPr>
            <w:tcW w:w="0" w:type="auto"/>
            <w:shd w:val="clear" w:color="auto" w:fill="1A466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  <w:szCs w:val="20"/>
              </w:rPr>
              <w:t xml:space="preserve">2024 연간</w:t>
            </w:r>
          </w:p>
        </w:tc>
        <w:tc>
          <w:tcPr>
            <w:tcW w:w="0" w:type="auto"/>
            <w:shd w:val="clear" w:color="auto" w:fill="1A466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  <w:szCs w:val="20"/>
              </w:rPr>
              <w:t xml:space="preserve">2025 연간</w:t>
            </w:r>
          </w:p>
        </w:tc>
        <w:tc>
          <w:tcPr>
            <w:tcW w:w="0" w:type="auto"/>
            <w:shd w:val="clear" w:color="auto" w:fill="1A466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  <w:szCs w:val="20"/>
              </w:rPr>
              <w:t xml:space="preserve">2026 1분기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현대차 (005380)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5/5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4/5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4/5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4/5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기아 (000270)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5/5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5/5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4/5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4/5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현대모비스 (012330)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4/5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4/5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5/5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5/5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한국타이어앤테크놀로지 (161390)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5/5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5/5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5/5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5/5</w:t>
            </w:r>
          </w:p>
        </w:tc>
      </w:tr>
    </w:tbl>
    <w:p>
      <w:pPr>
        <w:spacing w:after="120"/>
      </w:pPr>
    </w:p>
    <w:p>
      <w:pPr>
        <w:spacing w:before="0" w:after="60"/>
      </w:pPr>
      <w:r>
        <w:rPr>
          <w:rFonts w:ascii="Malgun Gothic" w:eastAsia="Malgun Gothic" w:hAnsi="Malgun Gothic"/>
          <w:sz w:val="20"/>
          <w:szCs w:val="20"/>
        </w:rPr>
        <w:t xml:space="preserve">•  [2026-07-09·유상증자] 현대차: [특징주] '현대차의 뮤즈 출신' 뉴인텍, 유상증자 순항…"생산 투자·재...</w:t>
      </w:r>
    </w:p>
    <w:p>
      <w:pPr>
        <w:spacing w:before="0" w:after="60"/>
      </w:pPr>
      <w:r>
        <w:rPr>
          <w:rFonts w:ascii="Malgun Gothic" w:eastAsia="Malgun Gothic" w:hAnsi="Malgun Gothic"/>
          <w:sz w:val="20"/>
          <w:szCs w:val="20"/>
        </w:rPr>
        <w:t xml:space="preserve">•  [2026-07-07·횡령] 기아: 현대기아차 핵심 협력사 회장·하청업체 대표, 수백억대 횡령·배임 혐의...</w:t>
      </w:r>
    </w:p>
    <w:p>
      <w:pPr>
        <w:spacing w:before="240" w:after="120"/>
      </w:pPr>
      <w:r>
        <w:rPr>
          <w:rFonts w:ascii="Malgun Gothic" w:eastAsia="Malgun Gothic" w:hAnsi="Malgun Gothic"/>
          <w:b/>
          <w:sz w:val="22"/>
          <w:szCs w:val="22"/>
        </w:rPr>
        <w:t xml:space="preserve">플랫폼·IT서비스 — 3종목</w:t>
      </w:r>
    </w:p>
    <w:tbl>
      <w:tblPr>
        <w:tblW w:w="0" w:type="auto"/>
        <w:tblBorders>
          <w:top w:val="single" w:sz="4" w:space="0" w:color="BFC8D0"/>
          <w:left w:val="single" w:sz="4" w:space="0" w:color="BFC8D0"/>
          <w:bottom w:val="single" w:sz="4" w:space="0" w:color="BFC8D0"/>
          <w:right w:val="single" w:sz="4" w:space="0" w:color="BFC8D0"/>
          <w:insideH w:val="single" w:sz="4" w:space="0" w:color="BFC8D0"/>
          <w:insideV w:val="single" w:sz="4" w:space="0" w:color="BFC8D0"/>
        </w:tblBorders>
      </w:tblPr>
      <w:tblGrid>
        <w:gridCol w:w="1927"/>
        <w:gridCol w:w="1927"/>
        <w:gridCol w:w="1927"/>
        <w:gridCol w:w="1927"/>
        <w:gridCol w:w="1927"/>
      </w:tblGrid>
      <w:tr>
        <w:trPr>
          <w:tblHeader/>
        </w:trPr>
        <w:tc>
          <w:tcPr>
            <w:tcW w:w="0" w:type="auto"/>
            <w:shd w:val="clear" w:color="auto" w:fill="1A466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  <w:szCs w:val="20"/>
              </w:rPr>
              <w:t xml:space="preserve">종목</w:t>
            </w:r>
          </w:p>
        </w:tc>
        <w:tc>
          <w:tcPr>
            <w:tcW w:w="0" w:type="auto"/>
            <w:shd w:val="clear" w:color="auto" w:fill="1A466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  <w:szCs w:val="20"/>
              </w:rPr>
              <w:t xml:space="preserve">2023 연간</w:t>
            </w:r>
          </w:p>
        </w:tc>
        <w:tc>
          <w:tcPr>
            <w:tcW w:w="0" w:type="auto"/>
            <w:shd w:val="clear" w:color="auto" w:fill="1A466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  <w:szCs w:val="20"/>
              </w:rPr>
              <w:t xml:space="preserve">2024 연간</w:t>
            </w:r>
          </w:p>
        </w:tc>
        <w:tc>
          <w:tcPr>
            <w:tcW w:w="0" w:type="auto"/>
            <w:shd w:val="clear" w:color="auto" w:fill="1A466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  <w:szCs w:val="20"/>
              </w:rPr>
              <w:t xml:space="preserve">2025 연간</w:t>
            </w:r>
          </w:p>
        </w:tc>
        <w:tc>
          <w:tcPr>
            <w:tcW w:w="0" w:type="auto"/>
            <w:shd w:val="clear" w:color="auto" w:fill="1A466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  <w:szCs w:val="20"/>
              </w:rPr>
              <w:t xml:space="preserve">2026 1분기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NAVER (035420)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5/5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5/5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5/5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5/5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카카오 (035720)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3/5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3/5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5/5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5/5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삼성에스디에스 (018260)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3/5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5/5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5/5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2/5</w:t>
            </w:r>
          </w:p>
        </w:tc>
      </w:tr>
    </w:tbl>
    <w:p>
      <w:pPr>
        <w:spacing w:after="120"/>
      </w:pPr>
    </w:p>
    <w:p>
      <w:pPr>
        <w:spacing w:before="240" w:after="120"/>
      </w:pPr>
      <w:r>
        <w:rPr>
          <w:rFonts w:ascii="Malgun Gothic" w:eastAsia="Malgun Gothic" w:hAnsi="Malgun Gothic"/>
          <w:b/>
          <w:sz w:val="22"/>
          <w:szCs w:val="22"/>
        </w:rPr>
        <w:t xml:space="preserve">소재·화학 — 5종목</w:t>
      </w:r>
    </w:p>
    <w:tbl>
      <w:tblPr>
        <w:tblW w:w="0" w:type="auto"/>
        <w:tblBorders>
          <w:top w:val="single" w:sz="4" w:space="0" w:color="BFC8D0"/>
          <w:left w:val="single" w:sz="4" w:space="0" w:color="BFC8D0"/>
          <w:bottom w:val="single" w:sz="4" w:space="0" w:color="BFC8D0"/>
          <w:right w:val="single" w:sz="4" w:space="0" w:color="BFC8D0"/>
          <w:insideH w:val="single" w:sz="4" w:space="0" w:color="BFC8D0"/>
          <w:insideV w:val="single" w:sz="4" w:space="0" w:color="BFC8D0"/>
        </w:tblBorders>
      </w:tblPr>
      <w:tblGrid>
        <w:gridCol w:w="1927"/>
        <w:gridCol w:w="1927"/>
        <w:gridCol w:w="1927"/>
        <w:gridCol w:w="1927"/>
        <w:gridCol w:w="1927"/>
      </w:tblGrid>
      <w:tr>
        <w:trPr>
          <w:tblHeader/>
        </w:trPr>
        <w:tc>
          <w:tcPr>
            <w:tcW w:w="0" w:type="auto"/>
            <w:shd w:val="clear" w:color="auto" w:fill="1A466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  <w:szCs w:val="20"/>
              </w:rPr>
              <w:t xml:space="preserve">종목</w:t>
            </w:r>
          </w:p>
        </w:tc>
        <w:tc>
          <w:tcPr>
            <w:tcW w:w="0" w:type="auto"/>
            <w:shd w:val="clear" w:color="auto" w:fill="1A466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  <w:szCs w:val="20"/>
              </w:rPr>
              <w:t xml:space="preserve">2023 연간</w:t>
            </w:r>
          </w:p>
        </w:tc>
        <w:tc>
          <w:tcPr>
            <w:tcW w:w="0" w:type="auto"/>
            <w:shd w:val="clear" w:color="auto" w:fill="1A466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  <w:szCs w:val="20"/>
              </w:rPr>
              <w:t xml:space="preserve">2024 연간</w:t>
            </w:r>
          </w:p>
        </w:tc>
        <w:tc>
          <w:tcPr>
            <w:tcW w:w="0" w:type="auto"/>
            <w:shd w:val="clear" w:color="auto" w:fill="1A466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  <w:szCs w:val="20"/>
              </w:rPr>
              <w:t xml:space="preserve">2025 연간</w:t>
            </w:r>
          </w:p>
        </w:tc>
        <w:tc>
          <w:tcPr>
            <w:tcW w:w="0" w:type="auto"/>
            <w:shd w:val="clear" w:color="auto" w:fill="1A466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  <w:szCs w:val="20"/>
              </w:rPr>
              <w:t xml:space="preserve">2026 1분기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POSCO홀딩스 (005490)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2/5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2/5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2/5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4/5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LG화학 (051910)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3/5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2/5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2/5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1/5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SK이노베이션 (096770)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2/5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1/5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3/5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5/5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고려아연 (010130)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3/5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5/5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5/5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5/5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롯데케미칼 (011170)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2/5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2/5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1/5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4/5</w:t>
            </w:r>
          </w:p>
        </w:tc>
      </w:tr>
    </w:tbl>
    <w:p>
      <w:pPr>
        <w:spacing w:after="120"/>
      </w:pPr>
    </w:p>
    <w:p>
      <w:pPr>
        <w:spacing w:before="240" w:after="120"/>
      </w:pPr>
      <w:r>
        <w:rPr>
          <w:rFonts w:ascii="Malgun Gothic" w:eastAsia="Malgun Gothic" w:hAnsi="Malgun Gothic"/>
          <w:b/>
          <w:sz w:val="22"/>
          <w:szCs w:val="22"/>
        </w:rPr>
        <w:t xml:space="preserve">금융 — 10종목 (부채비율 규칙 N/A)</w:t>
      </w:r>
    </w:p>
    <w:tbl>
      <w:tblPr>
        <w:tblW w:w="0" w:type="auto"/>
        <w:tblBorders>
          <w:top w:val="single" w:sz="4" w:space="0" w:color="BFC8D0"/>
          <w:left w:val="single" w:sz="4" w:space="0" w:color="BFC8D0"/>
          <w:bottom w:val="single" w:sz="4" w:space="0" w:color="BFC8D0"/>
          <w:right w:val="single" w:sz="4" w:space="0" w:color="BFC8D0"/>
          <w:insideH w:val="single" w:sz="4" w:space="0" w:color="BFC8D0"/>
          <w:insideV w:val="single" w:sz="4" w:space="0" w:color="BFC8D0"/>
        </w:tblBorders>
      </w:tblPr>
      <w:tblGrid>
        <w:gridCol w:w="1927"/>
        <w:gridCol w:w="1927"/>
        <w:gridCol w:w="1927"/>
        <w:gridCol w:w="1927"/>
        <w:gridCol w:w="1927"/>
      </w:tblGrid>
      <w:tr>
        <w:trPr>
          <w:tblHeader/>
        </w:trPr>
        <w:tc>
          <w:tcPr>
            <w:tcW w:w="0" w:type="auto"/>
            <w:shd w:val="clear" w:color="auto" w:fill="1A466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  <w:szCs w:val="20"/>
              </w:rPr>
              <w:t xml:space="preserve">종목</w:t>
            </w:r>
          </w:p>
        </w:tc>
        <w:tc>
          <w:tcPr>
            <w:tcW w:w="0" w:type="auto"/>
            <w:shd w:val="clear" w:color="auto" w:fill="1A466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  <w:szCs w:val="20"/>
              </w:rPr>
              <w:t xml:space="preserve">2023 연간</w:t>
            </w:r>
          </w:p>
        </w:tc>
        <w:tc>
          <w:tcPr>
            <w:tcW w:w="0" w:type="auto"/>
            <w:shd w:val="clear" w:color="auto" w:fill="1A466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  <w:szCs w:val="20"/>
              </w:rPr>
              <w:t xml:space="preserve">2024 연간</w:t>
            </w:r>
          </w:p>
        </w:tc>
        <w:tc>
          <w:tcPr>
            <w:tcW w:w="0" w:type="auto"/>
            <w:shd w:val="clear" w:color="auto" w:fill="1A466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  <w:szCs w:val="20"/>
              </w:rPr>
              <w:t xml:space="preserve">2025 연간</w:t>
            </w:r>
          </w:p>
        </w:tc>
        <w:tc>
          <w:tcPr>
            <w:tcW w:w="0" w:type="auto"/>
            <w:shd w:val="clear" w:color="auto" w:fill="1A466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  <w:szCs w:val="20"/>
              </w:rPr>
              <w:t xml:space="preserve">2026 1분기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KB금융 (105560)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2/2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2/2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2/2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2/2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신한지주 (055550)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2/2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2/2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2/2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2/2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하나금융지주 (086790)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2/2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2/2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2/2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2/2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우리금융지주 (316140)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1/2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2/2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1/2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1/2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삼성생명 (032830)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2/2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2/2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2/2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2/2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삼성화재 (000810)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2/2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2/2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2/2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2/2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기업은행 (024110)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1/2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2/2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2/2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1/2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메리츠금융지주 (138040)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3/4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3/4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1/2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2/2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카카오뱅크 (323410)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4/4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4/4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4/4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3/4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카카오페이 (377300)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1/4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1/4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4/4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4/4</w:t>
            </w:r>
          </w:p>
        </w:tc>
      </w:tr>
    </w:tbl>
    <w:p>
      <w:pPr>
        <w:spacing w:after="120"/>
      </w:pPr>
    </w:p>
    <w:p>
      <w:pPr>
        <w:spacing w:before="240" w:after="120"/>
      </w:pPr>
      <w:r>
        <w:rPr>
          <w:rFonts w:ascii="Malgun Gothic" w:eastAsia="Malgun Gothic" w:hAnsi="Malgun Gothic"/>
          <w:b/>
          <w:sz w:val="22"/>
          <w:szCs w:val="22"/>
        </w:rPr>
        <w:t xml:space="preserve">지주·상사·운송 — 4종목</w:t>
      </w:r>
    </w:p>
    <w:tbl>
      <w:tblPr>
        <w:tblW w:w="0" w:type="auto"/>
        <w:tblBorders>
          <w:top w:val="single" w:sz="4" w:space="0" w:color="BFC8D0"/>
          <w:left w:val="single" w:sz="4" w:space="0" w:color="BFC8D0"/>
          <w:bottom w:val="single" w:sz="4" w:space="0" w:color="BFC8D0"/>
          <w:right w:val="single" w:sz="4" w:space="0" w:color="BFC8D0"/>
          <w:insideH w:val="single" w:sz="4" w:space="0" w:color="BFC8D0"/>
          <w:insideV w:val="single" w:sz="4" w:space="0" w:color="BFC8D0"/>
        </w:tblBorders>
      </w:tblPr>
      <w:tblGrid>
        <w:gridCol w:w="1927"/>
        <w:gridCol w:w="1927"/>
        <w:gridCol w:w="1927"/>
        <w:gridCol w:w="1927"/>
        <w:gridCol w:w="1927"/>
      </w:tblGrid>
      <w:tr>
        <w:trPr>
          <w:tblHeader/>
        </w:trPr>
        <w:tc>
          <w:tcPr>
            <w:tcW w:w="0" w:type="auto"/>
            <w:shd w:val="clear" w:color="auto" w:fill="1A466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  <w:szCs w:val="20"/>
              </w:rPr>
              <w:t xml:space="preserve">종목</w:t>
            </w:r>
          </w:p>
        </w:tc>
        <w:tc>
          <w:tcPr>
            <w:tcW w:w="0" w:type="auto"/>
            <w:shd w:val="clear" w:color="auto" w:fill="1A466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  <w:szCs w:val="20"/>
              </w:rPr>
              <w:t xml:space="preserve">2023 연간</w:t>
            </w:r>
          </w:p>
        </w:tc>
        <w:tc>
          <w:tcPr>
            <w:tcW w:w="0" w:type="auto"/>
            <w:shd w:val="clear" w:color="auto" w:fill="1A466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  <w:szCs w:val="20"/>
              </w:rPr>
              <w:t xml:space="preserve">2024 연간</w:t>
            </w:r>
          </w:p>
        </w:tc>
        <w:tc>
          <w:tcPr>
            <w:tcW w:w="0" w:type="auto"/>
            <w:shd w:val="clear" w:color="auto" w:fill="1A466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  <w:szCs w:val="20"/>
              </w:rPr>
              <w:t xml:space="preserve">2025 연간</w:t>
            </w:r>
          </w:p>
        </w:tc>
        <w:tc>
          <w:tcPr>
            <w:tcW w:w="0" w:type="auto"/>
            <w:shd w:val="clear" w:color="auto" w:fill="1A466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  <w:szCs w:val="20"/>
              </w:rPr>
              <w:t xml:space="preserve">2026 1분기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삼성물산 (028260)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4/5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5/5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4/5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4/5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SK (034730)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1/5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2/5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2/5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5/5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LG (003550)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4/5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3/5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4/5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3/5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HMM (011200)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3/5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5/5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3/5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3/5</w:t>
            </w:r>
          </w:p>
        </w:tc>
      </w:tr>
    </w:tbl>
    <w:p>
      <w:pPr>
        <w:spacing w:after="120"/>
      </w:pPr>
    </w:p>
    <w:p>
      <w:pPr>
        <w:spacing w:before="240" w:after="120"/>
      </w:pPr>
      <w:r>
        <w:rPr>
          <w:rFonts w:ascii="Malgun Gothic" w:eastAsia="Malgun Gothic" w:hAnsi="Malgun Gothic"/>
          <w:b/>
          <w:sz w:val="22"/>
          <w:szCs w:val="22"/>
        </w:rPr>
        <w:t xml:space="preserve">가전·소비재 — 3종목</w:t>
      </w:r>
    </w:p>
    <w:tbl>
      <w:tblPr>
        <w:tblW w:w="0" w:type="auto"/>
        <w:tblBorders>
          <w:top w:val="single" w:sz="4" w:space="0" w:color="BFC8D0"/>
          <w:left w:val="single" w:sz="4" w:space="0" w:color="BFC8D0"/>
          <w:bottom w:val="single" w:sz="4" w:space="0" w:color="BFC8D0"/>
          <w:right w:val="single" w:sz="4" w:space="0" w:color="BFC8D0"/>
          <w:insideH w:val="single" w:sz="4" w:space="0" w:color="BFC8D0"/>
          <w:insideV w:val="single" w:sz="4" w:space="0" w:color="BFC8D0"/>
        </w:tblBorders>
      </w:tblPr>
      <w:tblGrid>
        <w:gridCol w:w="1927"/>
        <w:gridCol w:w="1927"/>
        <w:gridCol w:w="1927"/>
        <w:gridCol w:w="1927"/>
        <w:gridCol w:w="1927"/>
      </w:tblGrid>
      <w:tr>
        <w:trPr>
          <w:tblHeader/>
        </w:trPr>
        <w:tc>
          <w:tcPr>
            <w:tcW w:w="0" w:type="auto"/>
            <w:shd w:val="clear" w:color="auto" w:fill="1A466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  <w:szCs w:val="20"/>
              </w:rPr>
              <w:t xml:space="preserve">종목</w:t>
            </w:r>
          </w:p>
        </w:tc>
        <w:tc>
          <w:tcPr>
            <w:tcW w:w="0" w:type="auto"/>
            <w:shd w:val="clear" w:color="auto" w:fill="1A466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  <w:szCs w:val="20"/>
              </w:rPr>
              <w:t xml:space="preserve">2023 연간</w:t>
            </w:r>
          </w:p>
        </w:tc>
        <w:tc>
          <w:tcPr>
            <w:tcW w:w="0" w:type="auto"/>
            <w:shd w:val="clear" w:color="auto" w:fill="1A466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  <w:szCs w:val="20"/>
              </w:rPr>
              <w:t xml:space="preserve">2024 연간</w:t>
            </w:r>
          </w:p>
        </w:tc>
        <w:tc>
          <w:tcPr>
            <w:tcW w:w="0" w:type="auto"/>
            <w:shd w:val="clear" w:color="auto" w:fill="1A466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  <w:szCs w:val="20"/>
              </w:rPr>
              <w:t xml:space="preserve">2025 연간</w:t>
            </w:r>
          </w:p>
        </w:tc>
        <w:tc>
          <w:tcPr>
            <w:tcW w:w="0" w:type="auto"/>
            <w:shd w:val="clear" w:color="auto" w:fill="1A466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  <w:szCs w:val="20"/>
              </w:rPr>
              <w:t xml:space="preserve">2026 1분기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LG전자 (066570)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3/5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3/5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3/5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5/5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KT&amp;G (033780)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4/5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5/5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5/5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5/5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아모레퍼시픽 (090430)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2/5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5/5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5/5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5/5</w:t>
            </w:r>
          </w:p>
        </w:tc>
      </w:tr>
    </w:tbl>
    <w:p>
      <w:pPr>
        <w:spacing w:after="120"/>
      </w:pPr>
    </w:p>
    <w:p>
      <w:pPr>
        <w:spacing w:before="240" w:after="120"/>
      </w:pPr>
      <w:r>
        <w:rPr>
          <w:rFonts w:ascii="Malgun Gothic" w:eastAsia="Malgun Gothic" w:hAnsi="Malgun Gothic"/>
          <w:b/>
          <w:sz w:val="22"/>
          <w:szCs w:val="22"/>
        </w:rPr>
        <w:t xml:space="preserve">통신·유틸리티 — 3종목</w:t>
      </w:r>
    </w:p>
    <w:tbl>
      <w:tblPr>
        <w:tblW w:w="0" w:type="auto"/>
        <w:tblBorders>
          <w:top w:val="single" w:sz="4" w:space="0" w:color="BFC8D0"/>
          <w:left w:val="single" w:sz="4" w:space="0" w:color="BFC8D0"/>
          <w:bottom w:val="single" w:sz="4" w:space="0" w:color="BFC8D0"/>
          <w:right w:val="single" w:sz="4" w:space="0" w:color="BFC8D0"/>
          <w:insideH w:val="single" w:sz="4" w:space="0" w:color="BFC8D0"/>
          <w:insideV w:val="single" w:sz="4" w:space="0" w:color="BFC8D0"/>
        </w:tblBorders>
      </w:tblPr>
      <w:tblGrid>
        <w:gridCol w:w="1927"/>
        <w:gridCol w:w="1927"/>
        <w:gridCol w:w="1927"/>
        <w:gridCol w:w="1927"/>
        <w:gridCol w:w="1927"/>
      </w:tblGrid>
      <w:tr>
        <w:trPr>
          <w:tblHeader/>
        </w:trPr>
        <w:tc>
          <w:tcPr>
            <w:tcW w:w="0" w:type="auto"/>
            <w:shd w:val="clear" w:color="auto" w:fill="1A466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  <w:szCs w:val="20"/>
              </w:rPr>
              <w:t xml:space="preserve">종목</w:t>
            </w:r>
          </w:p>
        </w:tc>
        <w:tc>
          <w:tcPr>
            <w:tcW w:w="0" w:type="auto"/>
            <w:shd w:val="clear" w:color="auto" w:fill="1A466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  <w:szCs w:val="20"/>
              </w:rPr>
              <w:t xml:space="preserve">2023 연간</w:t>
            </w:r>
          </w:p>
        </w:tc>
        <w:tc>
          <w:tcPr>
            <w:tcW w:w="0" w:type="auto"/>
            <w:shd w:val="clear" w:color="auto" w:fill="1A466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  <w:szCs w:val="20"/>
              </w:rPr>
              <w:t xml:space="preserve">2024 연간</w:t>
            </w:r>
          </w:p>
        </w:tc>
        <w:tc>
          <w:tcPr>
            <w:tcW w:w="0" w:type="auto"/>
            <w:shd w:val="clear" w:color="auto" w:fill="1A466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  <w:szCs w:val="20"/>
              </w:rPr>
              <w:t xml:space="preserve">2025 연간</w:t>
            </w:r>
          </w:p>
        </w:tc>
        <w:tc>
          <w:tcPr>
            <w:tcW w:w="0" w:type="auto"/>
            <w:shd w:val="clear" w:color="auto" w:fill="1A466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  <w:szCs w:val="20"/>
              </w:rPr>
              <w:t xml:space="preserve">2026 1분기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한국전력 (015760)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2/5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4/5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4/5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4/5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SK텔레콤 (017670)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5/5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5/5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3/5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3/5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KT (030200)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4/5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3/5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5/5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3/5</w:t>
            </w:r>
          </w:p>
        </w:tc>
      </w:tr>
    </w:tbl>
    <w:p>
      <w:pPr>
        <w:spacing w:after="120"/>
      </w:pPr>
    </w:p>
    <w:p>
      <w:pPr>
        <w:spacing w:before="240" w:after="120"/>
      </w:pPr>
      <w:r>
        <w:rPr>
          <w:rFonts w:ascii="Malgun Gothic" w:eastAsia="Malgun Gothic" w:hAnsi="Malgun Gothic"/>
          <w:b/>
          <w:sz w:val="22"/>
          <w:szCs w:val="22"/>
        </w:rPr>
        <w:t xml:space="preserve">조선·방산·기계 — 9종목</w:t>
      </w:r>
    </w:p>
    <w:tbl>
      <w:tblPr>
        <w:tblW w:w="0" w:type="auto"/>
        <w:tblBorders>
          <w:top w:val="single" w:sz="4" w:space="0" w:color="BFC8D0"/>
          <w:left w:val="single" w:sz="4" w:space="0" w:color="BFC8D0"/>
          <w:bottom w:val="single" w:sz="4" w:space="0" w:color="BFC8D0"/>
          <w:right w:val="single" w:sz="4" w:space="0" w:color="BFC8D0"/>
          <w:insideH w:val="single" w:sz="4" w:space="0" w:color="BFC8D0"/>
          <w:insideV w:val="single" w:sz="4" w:space="0" w:color="BFC8D0"/>
        </w:tblBorders>
      </w:tblPr>
      <w:tblGrid>
        <w:gridCol w:w="1927"/>
        <w:gridCol w:w="1927"/>
        <w:gridCol w:w="1927"/>
        <w:gridCol w:w="1927"/>
        <w:gridCol w:w="1927"/>
      </w:tblGrid>
      <w:tr>
        <w:trPr>
          <w:tblHeader/>
        </w:trPr>
        <w:tc>
          <w:tcPr>
            <w:tcW w:w="0" w:type="auto"/>
            <w:shd w:val="clear" w:color="auto" w:fill="1A466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  <w:szCs w:val="20"/>
              </w:rPr>
              <w:t xml:space="preserve">종목</w:t>
            </w:r>
          </w:p>
        </w:tc>
        <w:tc>
          <w:tcPr>
            <w:tcW w:w="0" w:type="auto"/>
            <w:shd w:val="clear" w:color="auto" w:fill="1A466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  <w:szCs w:val="20"/>
              </w:rPr>
              <w:t xml:space="preserve">2023 연간</w:t>
            </w:r>
          </w:p>
        </w:tc>
        <w:tc>
          <w:tcPr>
            <w:tcW w:w="0" w:type="auto"/>
            <w:shd w:val="clear" w:color="auto" w:fill="1A466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  <w:szCs w:val="20"/>
              </w:rPr>
              <w:t xml:space="preserve">2024 연간</w:t>
            </w:r>
          </w:p>
        </w:tc>
        <w:tc>
          <w:tcPr>
            <w:tcW w:w="0" w:type="auto"/>
            <w:shd w:val="clear" w:color="auto" w:fill="1A466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  <w:szCs w:val="20"/>
              </w:rPr>
              <w:t xml:space="preserve">2025 연간</w:t>
            </w:r>
          </w:p>
        </w:tc>
        <w:tc>
          <w:tcPr>
            <w:tcW w:w="0" w:type="auto"/>
            <w:shd w:val="clear" w:color="auto" w:fill="1A466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  <w:szCs w:val="20"/>
              </w:rPr>
              <w:t xml:space="preserve">2026 1분기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두산에너빌리티 (034020)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5/5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3/5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3/5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5/5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한화오션 (042660)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3/5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3/5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4/5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4/5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HD한국조선해양 (009540)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4/5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5/5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5/5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5/5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HD현대중공업 (329180)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3/5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3/5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5/5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5/5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한화에어로스페이스 (012450)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4/5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4/5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4/5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4/5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현대로템 (064350)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4/5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5/5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4/5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5/5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삼성중공업 (010140)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2/5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4/5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4/5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4/5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HD현대일렉트릭 (267260)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5/5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5/5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5/5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5/5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레인보우로보틱스 (277810)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2/5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3/4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3/4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2/4</w:t>
            </w:r>
          </w:p>
        </w:tc>
      </w:tr>
    </w:tbl>
    <w:p>
      <w:pPr>
        <w:spacing w:after="120"/>
      </w:pPr>
    </w:p>
    <w:p>
      <w:pPr>
        <w:spacing w:before="240" w:after="120"/>
      </w:pPr>
      <w:r>
        <w:rPr>
          <w:rFonts w:ascii="Malgun Gothic" w:eastAsia="Malgun Gothic" w:hAnsi="Malgun Gothic"/>
          <w:b/>
          <w:sz w:val="22"/>
          <w:szCs w:val="22"/>
        </w:rPr>
        <w:t xml:space="preserve">게임·엔터 — 7종목</w:t>
      </w:r>
    </w:p>
    <w:tbl>
      <w:tblPr>
        <w:tblW w:w="0" w:type="auto"/>
        <w:tblBorders>
          <w:top w:val="single" w:sz="4" w:space="0" w:color="BFC8D0"/>
          <w:left w:val="single" w:sz="4" w:space="0" w:color="BFC8D0"/>
          <w:bottom w:val="single" w:sz="4" w:space="0" w:color="BFC8D0"/>
          <w:right w:val="single" w:sz="4" w:space="0" w:color="BFC8D0"/>
          <w:insideH w:val="single" w:sz="4" w:space="0" w:color="BFC8D0"/>
          <w:insideV w:val="single" w:sz="4" w:space="0" w:color="BFC8D0"/>
        </w:tblBorders>
      </w:tblPr>
      <w:tblGrid>
        <w:gridCol w:w="1927"/>
        <w:gridCol w:w="1927"/>
        <w:gridCol w:w="1927"/>
        <w:gridCol w:w="1927"/>
        <w:gridCol w:w="1927"/>
      </w:tblGrid>
      <w:tr>
        <w:trPr>
          <w:tblHeader/>
        </w:trPr>
        <w:tc>
          <w:tcPr>
            <w:tcW w:w="0" w:type="auto"/>
            <w:shd w:val="clear" w:color="auto" w:fill="1A466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  <w:szCs w:val="20"/>
              </w:rPr>
              <w:t xml:space="preserve">종목</w:t>
            </w:r>
          </w:p>
        </w:tc>
        <w:tc>
          <w:tcPr>
            <w:tcW w:w="0" w:type="auto"/>
            <w:shd w:val="clear" w:color="auto" w:fill="1A466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  <w:szCs w:val="20"/>
              </w:rPr>
              <w:t xml:space="preserve">2023 연간</w:t>
            </w:r>
          </w:p>
        </w:tc>
        <w:tc>
          <w:tcPr>
            <w:tcW w:w="0" w:type="auto"/>
            <w:shd w:val="clear" w:color="auto" w:fill="1A466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  <w:szCs w:val="20"/>
              </w:rPr>
              <w:t xml:space="preserve">2024 연간</w:t>
            </w:r>
          </w:p>
        </w:tc>
        <w:tc>
          <w:tcPr>
            <w:tcW w:w="0" w:type="auto"/>
            <w:shd w:val="clear" w:color="auto" w:fill="1A466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  <w:szCs w:val="20"/>
              </w:rPr>
              <w:t xml:space="preserve">2025 연간</w:t>
            </w:r>
          </w:p>
        </w:tc>
        <w:tc>
          <w:tcPr>
            <w:tcW w:w="0" w:type="auto"/>
            <w:shd w:val="clear" w:color="auto" w:fill="1A466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  <w:szCs w:val="20"/>
              </w:rPr>
              <w:t xml:space="preserve">2026 1분기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크래프톤 (259960)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5/5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5/5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4/5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5/5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엔씨소프트 (036570)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3/5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2/5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3/5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5/5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넷마블 (251270)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2/5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5/5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5/5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5/5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하이브 (352820)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5/5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3/5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2/5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2/5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JYP Ent. (035900)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5/5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4/5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5/5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5/5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카카오게임즈 (293490)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2/5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1/5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1/5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1/5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펄어비스 (263750)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2/3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4/5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2/5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Malgun Gothic" w:eastAsia="Malgun Gothic" w:hAnsi="Malgun Gothic"/>
                <w:sz w:val="18"/>
                <w:szCs w:val="18"/>
              </w:rPr>
              <w:t xml:space="preserve">5/5</w:t>
            </w:r>
          </w:p>
        </w:tc>
      </w:tr>
    </w:tbl>
    <w:p>
      <w:pPr>
        <w:spacing w:after="120"/>
      </w:pPr>
    </w:p>
    <w:p>
      <w:pPr>
        <w:spacing w:before="240" w:after="120"/>
      </w:pPr>
      <w:r>
        <w:rPr>
          <w:rFonts w:ascii="Malgun Gothic" w:eastAsia="Malgun Gothic" w:hAnsi="Malgun Gothic"/>
          <w:b/>
          <w:sz w:val="26"/>
          <w:szCs w:val="26"/>
        </w:rPr>
        <w:t xml:space="preserve">방법론·한계</w:t>
      </w:r>
    </w:p>
    <w:p>
      <w:pPr>
        <w:spacing w:before="0" w:after="60"/>
      </w:pPr>
      <w:r>
        <w:rPr>
          <w:rFonts w:ascii="Malgun Gothic" w:eastAsia="Malgun Gothic" w:hAnsi="Malgun Gothic"/>
          <w:sz w:val="20"/>
          <w:szCs w:val="20"/>
        </w:rPr>
        <w:t xml:space="preserve">•  점수 = 재무 규칙 5종 중 충족 개수를 5점 만점으로 정규화한 산업군 평균 (판정 불가 규칙은 분모에서 제외)</w:t>
      </w:r>
    </w:p>
    <w:p>
      <w:pPr>
        <w:spacing w:before="0" w:after="60"/>
      </w:pPr>
      <w:r>
        <w:rPr>
          <w:rFonts w:ascii="Malgun Gothic" w:eastAsia="Malgun Gothic" w:hAnsi="Malgun Gothic"/>
          <w:sz w:val="20"/>
          <w:szCs w:val="20"/>
        </w:rPr>
        <w:t xml:space="preserve">•  재무 출처: DART 요약재무(fnlttSinglAcnt) — 연결(CFS) 우선, 없으면 별도(OFS)</w:t>
      </w:r>
    </w:p>
    <w:p>
      <w:pPr>
        <w:spacing w:before="0" w:after="60"/>
      </w:pPr>
      <w:r>
        <w:rPr>
          <w:rFonts w:ascii="Malgun Gothic" w:eastAsia="Malgun Gothic" w:hAnsi="Malgun Gothic"/>
          <w:sz w:val="20"/>
          <w:szCs w:val="20"/>
        </w:rPr>
        <w:t xml:space="preserve">•  금융업(은행·보험·금융지주)은 부채비율 규칙 N/A — 예대·보험부채가 영업의 본질</w:t>
      </w:r>
    </w:p>
    <w:p>
      <w:pPr>
        <w:spacing w:before="0" w:after="60"/>
      </w:pPr>
      <w:r>
        <w:rPr>
          <w:rFonts w:ascii="Malgun Gothic" w:eastAsia="Malgun Gothic" w:hAnsi="Malgun Gothic"/>
          <w:sz w:val="20"/>
          <w:szCs w:val="20"/>
        </w:rPr>
        <w:t xml:space="preserve">•  한계: 유니버스가 현재 대형주 66종목(생존 편향) · 규칙은 과거 공시 재무 기준 · 점수는 예측이 아니라 규칙 충족 서술</w:t>
      </w:r>
    </w:p>
    <w:p>
      <w:pPr>
        <w:spacing w:before="0" w:after="60"/>
      </w:pPr>
      <w:r>
        <w:rPr>
          <w:rFonts w:ascii="Malgun Gothic" w:eastAsia="Malgun Gothic" w:hAnsi="Malgun Gothic"/>
          <w:sz w:val="20"/>
          <w:szCs w:val="20"/>
        </w:rPr>
        <w:t xml:space="preserve">•  뉴스: 네이버 뉴스 검색(제목·요약·링크만, 본문 미수집) — 현재 시점 최근 30일 한정(과거 시기 소급 불가), 기사 제목의 종목명+키워드 동시 등장 기준(타사 이벤트 오집계 가능 — 원문 재확인 필수)</w:t>
      </w:r>
    </w:p>
    <w:p>
      <w:pPr>
        <w:spacing w:before="0" w:after="120"/>
      </w:pPr>
      <w:r>
        <w:rPr>
          <w:rFonts w:ascii="Malgun Gothic" w:eastAsia="Malgun Gothic" w:hAnsi="Malgun Gothic"/>
          <w:b/>
          <w:sz w:val="20"/>
          <w:szCs w:val="20"/>
        </w:rPr>
        <w:t xml:space="preserve">본 리포트는 공시 재무 기준 규칙 충족 개수의 서술이며 투자자문·투자권유가 아닙니다. 투자 판단과 그 결과(손실 포함)에 대한 책임은 투자자 본인에게 있습니다.</w:t>
      </w:r>
    </w:p>
    <w:sectPr>
      <w:pgSz w:w="11906" w:h="16838"/>
      <w:pgMar w:top="1134" w:right="1134" w:bottom="1134" w:left="1134" w:header="720" w:footer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algun Gothic" w:eastAsia="Malgun Gothic" w:hAnsi="Malgun Gothic"/>
        <w:sz w:val="20"/>
        <w:szCs w:val="20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kakaopay-invest-companion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산업군별 투자 규칙 충족도 리포트</dc:title>
  <dc:creator>kakaopay-invest-companion</dc:creator>
  <cp:lastModifiedBy>kakaopay-invest-companion</cp:lastModifiedBy>
  <dcterms:created xsi:type="dcterms:W3CDTF">2026-07-10T16:56:11.958Z</dcterms:created>
  <dcterms:modified xsi:type="dcterms:W3CDTF">2026-07-10T16:56:11.958Z</dcterms:modified>
</cp:coreProperties>
</file>