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삼성바이오로직스(주) — CEO 서명용 경영리스크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대상 기업  </w:t>
      </w:r>
      <w:r>
        <w:rPr>
          <w:color w:val="595959"/>
          <w:sz w:val="20"/>
          <w:szCs w:val="20"/>
        </w:rPr>
        <w:t xml:space="preserve">삼성바이오로직스(주) (종목코드 207940, 사업자등록번호 131-86-27632)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분석 기준  </w:t>
      </w:r>
      <w:r>
        <w:rPr>
          <w:color w:val="595959"/>
          <w:sz w:val="20"/>
          <w:szCs w:val="20"/>
        </w:rPr>
        <w:t xml:space="preserve">2025 사업연도 연결재무제표(CFS) · 공시 관찰창 90일 · 한국은행 기준금리 2.5%(변동 0%p)</w:t>
      </w:r>
    </w:p>
    <w:p>
      <w:pPr>
        <w:pBdr>
          <w:left w:val="single" w:sz="24" w:space="8" w:color="D04A02"/>
        </w:pBdr>
        <w:spacing w:after="80"/>
        <w:ind w:left="284"/>
      </w:pPr>
      <w:r>
        <w:rPr>
          <w:b/>
          <w:color w:val="1B2A4A"/>
          <w:sz w:val="20"/>
          <w:szCs w:val="20"/>
        </w:rPr>
        <w:t xml:space="preserve">총평  </w:t>
      </w:r>
      <w:r>
        <w:rPr>
          <w:color w:val="595959"/>
          <w:sz w:val="20"/>
          <w:szCs w:val="20"/>
        </w:rPr>
        <w:t xml:space="preserve">결정론 진단에서 발화한 리스크는 </w:t>
      </w:r>
      <w:r>
        <w:rPr>
          <w:b/>
          <w:color w:val="595959"/>
          <w:sz w:val="20"/>
          <w:szCs w:val="20"/>
        </w:rPr>
        <w:t xml:space="preserve">1건(공시 행간 패턴)</w:t>
      </w:r>
      <w:r>
        <w:rPr>
          <w:color w:val="595959"/>
          <w:sz w:val="20"/>
          <w:szCs w:val="20"/>
        </w:rPr>
        <w:t xml:space="preserve"> 입니다. 재무 축(수익-채권, 재고, 차입, 유동성, 발생액 품질)은 모두 임계값을 넘지 않아 미발화 상태이며, 아래에서 리스크로 다루지 않습니다.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행간: 정정 공시 반복 패턴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공시 확정 전 검수 체인(작성→검토→승인) 의 단계별 책임과 릴리스 게이트를 재점검.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Heading1"/>
      </w:pPr>
      <w:r>
        <w:rPr>
          <w:b/>
          <w:color w:val="1B2A4A"/>
        </w:rPr>
        <w:t xml:space="preserve">리스크 1 — 공시 행간: 정정 공시 반복 패턴 (E5)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관찰창 90일 내 정정 공시가 임계값을 상회하는 빈도로 발생했습니다. 공시의 최초 확정 품질, 즉 정보 산출 체인의 안정성을 점검할 필요가 있는 신호입니다.</w:t>
      </w:r>
    </w:p>
    <w:p>
      <w:pPr>
        <w:jc w:val="both"/>
      </w:pPr>
      <w:r>
        <w:rPr>
          <w:b/>
        </w:rPr>
        <w:t xml:space="preserve">근거 (수치 + 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관찰창 90일 동안 총 공시 </w:t>
      </w:r>
      <w:r>
        <w:rPr>
          <w:b/>
        </w:rPr>
        <w:t xml:space="preserve">16건</w:t>
      </w:r>
      <w:r>
        <w:t xml:space="preserve"> 중 </w:t>
      </w:r>
      <w:r>
        <w:rPr>
          <w:b/>
        </w:rPr>
        <w:t xml:space="preserve">정정 공시 4건</w:t>
      </w:r>
      <w:r>
        <w:t xml:space="preserve"> (출처: DART 공시목록, 2025 CFS 기준).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 임계값은 정정 최소 3건이며, 실측 4건이 이를 넘겼습니다.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해명·풍문 공시 및 감사 관련 플래그는 관찰창 내 확인되지 않았습니다(각 0건).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최초 공시가 사후에 반복 정정된다는 것은, 외부에 나가는 숫자가 확정되기 전 단계의 검수 고리 어딘가가 완결되지 않은 채 배포되고 있을 개연성을 시사합니다. 이 상태가 지속되면 시장·감독기관은 회사가 내보내는 첫 숫자에 대한 신뢰 할인을 적용하기 시작하고, 정정이 실수치 변경으로 번질 경우 공시 리스크가 재무 신뢰 리스크로 전이될 수 있습니다. 지금 단계에서 위험한 것은 정정 내용 자체가 아니라, 정정을 유발한 프로세스가 반복되고 있다는 사실입니다.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</w:p>
    <w:p>
      <w:pPr>
        <w:jc w:val="both"/>
      </w:pPr>
      <w:r>
        <w:t xml:space="preserve">(정정 4건은 기계적으로 확인된 사실이나, 그것이 검수 체계의 약화 때문인지 단순 오기·형식 정정의 우연한 군집인지는 사유 분류 전에는 단정할 수 없습니다.)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정정 4건을 </w:t>
      </w:r>
      <w:r>
        <w:rPr>
          <w:b/>
        </w:rPr>
        <w:t xml:space="preserve">단순 오기·형식 정정 vs 수치·내용 변경</w:t>
      </w:r>
      <w:r>
        <w:t xml:space="preserve">으로 분류 — 후자가 다수면 신호 등급이 올라갑니다.</w:t>
      </w:r>
    </w:p>
    <w:p>
      <w:pPr>
        <w:jc w:val="both"/>
      </w:pPr>
      <w:r>
        <w:t xml:space="preserve">2. 각 정정의 </w:t>
      </w:r>
      <w:r>
        <w:rPr>
          <w:b/>
        </w:rPr>
        <w:t xml:space="preserve">선행 원공시와 후속 확정 공시 간 시차·사유</w:t>
      </w:r>
      <w:r>
        <w:t xml:space="preserve">를 추적해, 특정 공시 유형(실적·계약·지분 등)에 집중되는지 확인.</w:t>
      </w:r>
    </w:p>
    <w:p>
      <w:pPr>
        <w:jc w:val="both"/>
      </w:pPr>
      <w:r>
        <w:t xml:space="preserve">3. 최근 4개 분기 정정 건수 추이를 그려 이번 관찰창이 </w:t>
      </w:r>
      <w:r>
        <w:rPr>
          <w:b/>
        </w:rPr>
        <w:t xml:space="preserve">일시 군집인지 추세인지</w:t>
      </w:r>
      <w:r>
        <w:t xml:space="preserve"> 판별.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확정 전 </w:t>
      </w:r>
      <w:r>
        <w:rPr>
          <w:b/>
        </w:rPr>
        <w:t xml:space="preserve">검수 체인(작성→검토→승인)</w:t>
      </w:r>
      <w:r>
        <w:t xml:space="preserve"> 의 단계별 책임과 릴리스 게이트를 재점검.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사유 코드화·집계를 정례 리포팅에 편입해, 다음 관찰창에서 빈도가 임계값 아래로 복귀하는지 모니터링.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수치·내용 변경형 정정이 확인되면 해당 원자료 산출 부서까지 소급 점검.</w:t>
      </w:r>
    </w:p>
    <w:p>
      <w:pPr>
        <w:pStyle w:val="Heading1"/>
      </w:pPr>
      <w:r>
        <w:rPr>
          <w:b/>
          <w:color w:val="1B2A4A"/>
        </w:rPr>
        <w:t xml:space="preserve">미발화 신호 (임계값 미달 — 리스크로 승격하지 않음)</w:t>
      </w:r>
    </w:p>
    <w:p>
      <w:pPr>
        <w:jc w:val="both"/>
      </w:pPr>
      <w:r>
        <w:t xml:space="preserve">아래 축들은 이번 진단에서 임계값에 도달하지 않아 발화하지 않았습니다. 정성적으로만 기록하며, 근거 수치는 인용하지 않습니다.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수익-채권 괴리(E1)·재고 적체(E2)</w:t>
      </w:r>
      <w:r>
        <w:t xml:space="preserve">: 매출 성장 대비 채권·재고가 함께 늘어나는 왜곡 패턴이 임계값 미달로 미발화. 이익의 현금화·재고 회전 측면에서 특이 신호 없음.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 확대·이자 부담(E3)</w:t>
      </w:r>
      <w:r>
        <w:t xml:space="preserve">: 차입 증가·이자보상배율 악화 신호가 임계값 미달로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유동성 하락(E4)</w:t>
      </w:r>
      <w:r>
        <w:t xml:space="preserve">: 유동비율의 지속 하락 조건이 성립하지 않아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발생액 품질(E8)</w:t>
      </w:r>
      <w:r>
        <w:t xml:space="preserve">: 이익과 영업현금흐름 간 괴리가 임계값 미달로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기준금리가 관찰 구간에서 변동 없이 유지(2.5%)되어 금리발 압력 신호 없음.</w:t>
      </w:r>
    </w:p>
    <w:p>
      <w:pPr>
        <w:jc w:val="both"/>
      </w:pPr>
      <w:r>
        <w:t xml:space="preserve">&gt; 미발화는 "해당 리스크가 없음"의 증명이 아니라 "이번 데이터·임계값에서 신호로 잡히지 않음"을 의미합니다.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</w:t>
      </w:r>
      <w:r>
        <w:rPr>
          <w:b/>
        </w:rPr>
        <w:t xml:space="preserve">DART 공시·거시지표에서 결정론으로 파생된 신호</w:t>
      </w:r>
      <w:r>
        <w:t xml:space="preserve">에 근거하며, 내부 CSV(거래처 집중·원가 왜곡·공시 대사), 뉴스·시장·문서 축은 이번 입력에 포함되지 않았습니다. 해당 축의 리스크는 판단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발화한 E5는 </w:t>
      </w:r>
      <w:r>
        <w:rPr>
          <w:b/>
        </w:rPr>
        <w:t xml:space="preserve">정정 건수라는 형식 지표</w:t>
      </w:r>
      <w:r>
        <w:t xml:space="preserve"> 기반으로, 정정의 실질 내용(오기 vs 수치 변경) 분류는 위 판별 테스트로 확인해야 결론의 확신도가 확정됩니다.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재무 축 미발화는 관찰창·임계값 조건에서의 결과이며, 분기 단위 세부 시점이나 주석 레벨 정보로 좁히면 결과가 달라질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문서는 리스크 </w:t>
      </w:r>
      <w:r>
        <w:rPr>
          <w:b/>
        </w:rPr>
        <w:t xml:space="preserve">점검 신호</w:t>
      </w:r>
      <w:r>
        <w:t xml:space="preserve">를 제시할 뿐, 회계 부정·법규 위반을 단정하지 않습니다. 최종 판단은 위 판별 테스트의 추가 확인을 전제로 합니다.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삼성바이오로직스(주) — CEO 서명용 경영리스크 브리핑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