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(주)셀트리온 — CEO 서명용 경영리스크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수익 대비 매출채권 급증 (이익의 현금화 저조)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재무담당 임원에게 (1) 매출채권 연령분석표, (2) 상위 거래처별 채권 잔액·회수기일, (3) 대손충당금 산정 근거를 요청해 다음 이사회 전 회수 리스크를 소명하도록 지시하십시오.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R2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행간(정정 패턴)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공시책임자에게 정정 5건의 사유 분류표를 요청하고, 수치 변경이 포함된 건이 있으면 재발 방지를 위한 공시 검수 절차 보완안을 함께 보고하도록 지시하십시오.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(주)셀트리온 (종목코드 068270, 대표 기우성·서진석)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공시창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참고</w:t>
      </w:r>
      <w:r>
        <w:t xml:space="preserve">: 한국은행 기준금리 2.5%(2026-07-09 기준), 기준시점 대비 변동 0%p — 조달비용 급변 요인 없음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포착 리스크</w:t>
      </w:r>
      <w:r>
        <w:t xml:space="preserve">: 2건(수익-채권 괴리, 공시 행간 패턴). 나머지 진단 축은 임계값 미달로 미발화</w:t>
      </w:r>
    </w:p>
    <w:p>
      <w:pPr>
        <w:pStyle w:val="Heading1"/>
      </w:pPr>
      <w:r>
        <w:rPr>
          <w:b/>
          <w:color w:val="1B2A4A"/>
        </w:rPr>
        <w:t xml:space="preserve">리스크 1 — 수익 대비 매출채권 급증 (이익의 현금화 저조)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매출 성장 대비 매출채권이 과속으로 늘고, 영업활동현금흐름이 영업이익을 충분히 뒷받침하지 못하는 신호가 파생되었습니다. "장부상 이익이 현금으로 걷히는 속도"를 점검할 필요가 있습니다.</w:t>
      </w:r>
    </w:p>
    <w:p>
      <w:pPr>
        <w:jc w:val="both"/>
      </w:pPr>
      <w:r>
        <w:rPr>
          <w:b/>
        </w:rPr>
        <w:t xml:space="preserve">근거(수치·출처)</w:t>
      </w:r>
      <w:r>
        <w:t xml:space="preserve">: 2025 연결 재무제표 기준 매출 성장률 17%에 대해 매출채권 성장률은 47.3%로, 두 성장률의 격차는 30.3%p입니다(임계값 15%p 초과). 매출채권 잔액은 1.2→1.8조로 확대되었고, 영업활동현금흐름/영업이익 비율은 0.55(임계값 0.8 미만)입니다. 〔출처: DART 2025 사업보고서 연결 재무제표, 진단 패킷 E1〕</w:t>
      </w:r>
    </w:p>
    <w:p>
      <w:pPr>
        <w:jc w:val="both"/>
      </w:pPr>
      <w:r>
        <w:rPr>
          <w:b/>
        </w:rPr>
        <w:t xml:space="preserve">왜 문제인가(인과 사슬)</w:t>
      </w:r>
      <w:r>
        <w:t xml:space="preserve">: 판매가 늘어난 것보다 외상(매출채권)이 훨씬 빠르게 쌓인다는 것은, 이익이 계상되는 시점과 현금이 실제로 들어오는 시점 사이의 간극이 벌어지고 있음을 뜻합니다. 이 간극이 지속되면 회수 지연·대손 위험이 이익의 질을 갉아먹고, 성장하는데도 운전자본이 현금을 계속 빨아들이는 구조로 이어질 수 있습니다. 성장 자체가 아니라 "성장의 현금 전환"이 점검 지점입니다.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(수치는 확인된 파생값이나, 원인이 정상적 사업 확장인지 회수 지연인지는 추가 확인 필요)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분기보고서로 매출채권 증가가 특정 분기·거래처에 집중되는지 시점을 좁힙니다.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주석의 매출채권 연령 분석(연체 구간)과 대손충당금 설정률 추이를 대조합니다.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차기 분기 영업현금흐름 실측으로, 늘어난 채권이 정상 회수되는지 확인합니다.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재무담당 임원에게 (1) 매출채권 연령분석표, (2) 상위 거래처별 채권 잔액·회수기일, (3) 대손충당금 산정 근거를 요청해 다음 이사회 전 회수 리스크를 소명하도록 지시하십시오.</w:t>
      </w:r>
    </w:p>
    <w:p>
      <w:pPr>
        <w:pStyle w:val="Heading1"/>
      </w:pPr>
      <w:r>
        <w:rPr>
          <w:b/>
          <w:color w:val="1B2A4A"/>
        </w:rPr>
        <w:t xml:space="preserve">리스크 2 — 공시 행간(정정 패턴)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최근 공시창 안에서 정정공시 비중이 임계 수준을 넘어, 공시 검수 프로세스 또는 최초 공시 품질을 점검할 신호가 파생되었습니다.</w:t>
      </w:r>
    </w:p>
    <w:p>
      <w:pPr>
        <w:jc w:val="both"/>
      </w:pPr>
      <w:r>
        <w:rPr>
          <w:b/>
        </w:rPr>
        <w:t xml:space="preserve">근거(수치·출처)</w:t>
      </w:r>
      <w:r>
        <w:t xml:space="preserve">: 최근 90일 공시창의 전체 공시 100건 중 정정공시가 5건으로, 발화 임계값(정정 3건 이상)을 초과했습니다. 풍문·해명 공시 및 감사 관련 플래그는 포착되지 않았습니다. 〔출처: DART 공시 목록, 진단 패킷 E5〕</w:t>
      </w:r>
    </w:p>
    <w:p>
      <w:pPr>
        <w:jc w:val="both"/>
      </w:pPr>
      <w:r>
        <w:rPr>
          <w:b/>
        </w:rPr>
        <w:t xml:space="preserve">왜 문제인가(인과 사슬)</w:t>
      </w:r>
      <w:r>
        <w:t xml:space="preserve">: 정정공시 자체는 회계부정과 무관한 단순 오기일 수 있으나, 반복되면 최초 공시 단계의 검수 체인이 느슨하다는 방증이 됩니다. 공시 신뢰도가 흔들리면 시장·감독기관과의 커뮤니케이션 비용이 커지고, 정작 중요한 정정이 묻히는 위험이 생깁니다. 이는 "무엇을 정정했는가"보다 "왜 반복되는가"의 문제입니다.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(정정 건수는 확인되었으나, 사유가 단순 오기인지 수치 변경인지는 개별 확인 필요)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5건을 사유별(단순 오기 vs 수치·실적 변경)로 분류합니다.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수치 변경 정정이 있다면 후속 확정 공시와의 정합성을 대조합니다.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검수 체인(작성→검토→승인) 책임 단계를 점검합니다.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공시책임자에게 정정 5건의 사유 분류표를 요청하고, 수치 변경이 포함된 건이 있으면 재발 방지를 위한 공시 검수 절차 보완안을 함께 보고하도록 지시하십시오.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 브리핑은 (주)셀트리온의 2025 연결 재무제표와 최근 90일 공시 목록에서 </w:t>
      </w:r>
      <w:r>
        <w:rPr>
          <w:b/>
        </w:rPr>
        <w:t xml:space="preserve">결정론으로 파생한 신호</w:t>
      </w:r>
      <w:r>
        <w:t xml:space="preserve">에 기반하며, 회계처리의 적정성 자체를 판정한 것이 아닙니다. 포착된 2건은 모두 "확인이 필요한 신호"이지 결론이 아닙니다.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미발화 축(정성 서술)</w:t>
      </w:r>
      <w:r>
        <w:t xml:space="preserve">: 재고자산 적체(E2)·유동성 하락(E4)·발생액 품질(E8)은 평가되었으나 임계값에 미달해 리스크로 승격하지 않았습니다. 차입금 축(E3)은 공시에서 해당 계정을 식별하지 못해 </w:t>
      </w:r>
      <w:r>
        <w:rPr>
          <w:b/>
        </w:rPr>
        <w:t xml:space="preserve">평가 불가</w:t>
      </w:r>
      <w:r>
        <w:t xml:space="preserve">로 남았으므로, 차입 구조는 이번 진단의 사각지대입니다.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동명 기업 후보 3건(셀트리온·셀트리온제약·셀트리온헬스케어) 중 (주)셀트리온(고유번호 00413046)을 선택해 분석했습니다. 대상 기업 식별이 의도와 다르면 재진단이 필요합니다.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내부 CSV(거래처 집중·원가·공시 대사)·뉴스·시장 데이터는 이번 진단에 제공되지 않아, 상세 축은 열리지 않았습니다. 상기 판별 테스트는 이 한계를 좁히기 위한 다음 단계입니다.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(주)셀트리온 — CEO 서명용 경영리스크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