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hd w:val="clear" w:color="auto" w:fill="D04A02"/>
        <w:spacing w:before="0" w:after="480"/>
      </w:pPr>
      <w:r>
        <w:t xml:space="preserve"> </w:t>
      </w:r>
    </w:p>
    <w:p>
      <w:pPr>
        <w:spacing w:before="1200" w:after="120"/>
      </w:pPr>
      <w:r>
        <w:rPr>
          <w:color w:val="595959"/>
          <w:sz w:val="22"/>
          <w:szCs w:val="22"/>
        </w:rPr>
        <w:t xml:space="preserve">CEO 경영 리스크 브리핑</w:t>
      </w:r>
    </w:p>
    <w:p>
      <w:pPr>
        <w:spacing w:after="360"/>
      </w:pPr>
      <w:r>
        <w:rPr>
          <w:b/>
          <w:color w:val="1B2A4A"/>
          <w:sz w:val="52"/>
          <w:szCs w:val="52"/>
        </w:rPr>
        <w:t xml:space="preserve">CEO 서명용 경영리스크 브리핑 — (주)하나금융지주</w:t>
      </w:r>
    </w:p>
    <w:p>
      <w:pPr>
        <w:spacing w:after="160"/>
      </w:pPr>
      <w:r>
        <w:rPr>
          <w:b/>
          <w:color w:val="D04A02"/>
          <w:sz w:val="20"/>
          <w:szCs w:val="20"/>
        </w:rPr>
        <w:t xml:space="preserve">대외비 · Confidential</w:t>
      </w:r>
    </w:p>
    <w:p>
      <w:pPr>
        <w:spacing w:after="600"/>
      </w:pPr>
      <w:r>
        <w:rPr>
          <w:color w:val="595959"/>
          <w:sz w:val="20"/>
          <w:szCs w:val="20"/>
        </w:rPr>
        <w:t xml:space="preserve">작성일 2026-07-11</w:t>
      </w:r>
    </w:p>
    <w:p>
      <w:pPr>
        <w:pBdr>
          <w:left w:val="single" w:sz="24" w:space="8" w:color="D04A02"/>
        </w:pBdr>
        <w:spacing w:after="80"/>
        <w:ind w:left="284"/>
      </w:pPr>
      <w:r>
        <w:rPr>
          <w:b/>
          <w:color w:val="1B2A4A"/>
          <w:sz w:val="20"/>
          <w:szCs w:val="20"/>
        </w:rPr>
        <w:t xml:space="preserve">대상 기업  </w:t>
      </w:r>
      <w:r>
        <w:rPr>
          <w:color w:val="595959"/>
          <w:sz w:val="20"/>
          <w:szCs w:val="20"/>
        </w:rPr>
        <w:t xml:space="preserve">(주)하나금융지주 (대표이사 함영주 · 종목코드 086790 · 사업자등록번호 107-86-71509)</w:t>
      </w:r>
    </w:p>
    <w:p>
      <w:pPr>
        <w:pBdr>
          <w:left w:val="single" w:sz="24" w:space="8" w:color="D04A02"/>
        </w:pBdr>
        <w:spacing w:after="80"/>
        <w:ind w:left="284"/>
      </w:pPr>
      <w:r>
        <w:rPr>
          <w:b/>
          <w:color w:val="1B2A4A"/>
          <w:sz w:val="20"/>
          <w:szCs w:val="20"/>
        </w:rPr>
        <w:t xml:space="preserve">분석 기준  </w:t>
      </w:r>
      <w:r>
        <w:rPr>
          <w:color w:val="595959"/>
          <w:sz w:val="20"/>
          <w:szCs w:val="20"/>
        </w:rPr>
        <w:t xml:space="preserve">FY2025 연결(CFS) 공시 + 거시지표 · 공시창 90일</w:t>
      </w:r>
    </w:p>
    <w:p>
      <w:pPr>
        <w:pBdr>
          <w:left w:val="single" w:sz="24" w:space="8" w:color="D04A02"/>
        </w:pBdr>
        <w:spacing w:after="80"/>
        <w:ind w:left="284"/>
      </w:pPr>
      <w:r>
        <w:rPr>
          <w:b/>
          <w:color w:val="1B2A4A"/>
          <w:sz w:val="20"/>
          <w:szCs w:val="20"/>
        </w:rPr>
        <w:t xml:space="preserve">발화 리스크  </w:t>
      </w:r>
      <w:r>
        <w:rPr>
          <w:color w:val="595959"/>
          <w:sz w:val="20"/>
          <w:szCs w:val="20"/>
        </w:rPr>
        <w:t xml:space="preserve">2건(공시 행간 정정 패턴 · 발생액 품질) — 각 축은 결정론 임계값 판정으로 파생</w:t>
      </w:r>
    </w:p>
    <w:p>
      <w:pPr>
        <w:spacing w:before="2400" w:after="0"/>
      </w:pPr>
      <w:r>
        <w:rPr>
          <w:color w:val="A6A6A6"/>
          <w:sz w:val="16"/>
          <w:szCs w:val="16"/>
        </w:rPr>
        <w:t xml:space="preserve">본 보고서는 trusted-ceo-agent 진단 파이프라인(불변식 게이트 → 결정론 신호 파생 → 자동 채점)을 통과한 데이터에 기반해 작성되었으며, CEO 경영 판단 보조 자료로서 투자자문·투자권유가 아닙니다.</w:t>
      </w:r>
    </w:p>
    <w:p>
      <w:r>
        <w:br w:type="page"/>
      </w:r>
    </w:p>
    <w:p>
      <w:pPr>
        <w:pStyle w:val="Heading1"/>
      </w:pPr>
      <w:r>
        <w:rPr>
          <w:b/>
          <w:color w:val="1B2A4A"/>
        </w:rPr>
        <w:t xml:space="preserve">Executive Snapshot</w:t>
      </w:r>
    </w:p>
    <w:p>
      <w:pPr>
        <w:jc w:val="center"/>
        <w:spacing w:before="120" w:after="240"/>
      </w:pPr>
      <w:r>
        <w:drawing>
          <wp:inline xmlns:wp="http://schemas.openxmlformats.org/drawingml/2006/wordprocessingDrawing" distT="0" distB="0" distL="0" distR="0">
            <wp:extent cx="5943600" cy="3714750"/>
            <wp:effectExtent l="0" t="0" r="0" b="0"/>
            <wp:docPr id="1" name="Executive Snap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xecutive-summary.png"/>
                    <pic:cNvPicPr/>
                  </pic:nvPicPr>
                  <pic:blipFill>
                    <a:blip xmlns:r="http://schemas.openxmlformats.org/officeDocument/2006/relationships" r:embed="rIdSnapsho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b/>
          <w:color w:val="1B2A4A"/>
        </w:rPr>
        <w:t xml:space="preserve">리스크 1 — 공시 정정 빈도 상승 (공시 프로세스 신뢰성)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결론(가설)</w:t>
      </w:r>
      <w:r>
        <w:t xml:space="preserve">: 최근 90일 공시창에서 정정공시 비중이 파생 임계값을 넘어, 공시 검수·확정 체인에 점검이 필요한 신호로 판단됩니다.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근거(수치·출처)</w:t>
      </w:r>
      <w:r>
        <w:t xml:space="preserve">: 90일 공시창 총 40건 중 정정공시 5건(임계값: 정정 3건 이상). 출처는 DART 공시목록 파생(E5, 마커 "정정"). 해명·풍문 관련 공시 및 감사 관련 플래그는 이번 창에서 확인되지 않았습니다.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왜 문제인가(인과)</w:t>
      </w:r>
      <w:r>
        <w:t xml:space="preserve">: 정정이 반복된다는 것은 최초 공시가 확정 전 단계에서 충분히 검증되지 않은 채 나갔을 개연성을 시사합니다. 그 자체가 부정을 뜻하지는 않으나, 검수 체인의 어느 지점에서 오류가 새는지 규명되지 않으면 향후 중요 공시에서도 같은 오류가 재현될 수 있고, 이는 투자자·감독당국의 공시 신뢰에 누적적으로 작용합니다.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  <w:color w:val="1B2A4A"/>
        </w:rPr>
        <w:t xml:space="preserve">확신도. </w:t>
      </w:r>
      <w:r>
        <w:rPr>
          <w:b/>
          <w:color w:val="B45309"/>
        </w:rPr>
        <w:t xml:space="preserve">가설</w:t>
      </w:r>
      <w:r>
        <w:t xml:space="preserve"> — 정정 사유가 단순 오기인지 수치 변경인지 아직 분류되지 않았습니다.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  <w:color w:val="1B2A4A"/>
        </w:rPr>
        <w:t xml:space="preserve">판별 테스트. </w:t>
      </w:r>
      <w:r>
        <w:t xml:space="preserve">정정 5건을 (a) 단순 오기·형식 정정 vs (b) 재무·중요사항 수치 변경으로 분류하십시오. (b)가 1건이라도 있으면 해당 항목의 최초 공시→정정 경위와 검수 담당을 역추적하고, 전량 (a)면 프로세스가 아닌 입력 단계 이슈로 좁혀집니다.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  <w:color w:val="1B2A4A"/>
        </w:rPr>
        <w:t xml:space="preserve">권고 조치. </w:t>
      </w:r>
      <w:r>
        <w:t xml:space="preserve">공시 검수 체인(작성→내부검토→확정)의 정정 발생 지점을 1회 점검하고, 정정 사유 분류 결과를 다음 브리핑에 첨부하도록 지시하십시오.</w:t>
      </w:r>
    </w:p>
    <w:p>
      <w:pPr>
        <w:pStyle w:val="Heading1"/>
      </w:pPr>
      <w:r>
        <w:rPr>
          <w:b/>
          <w:color w:val="1B2A4A"/>
        </w:rPr>
        <w:t xml:space="preserve">리스크 2 — 이익 대비 영업현금흐름 괴리 지속 (발생액 품질)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결론(가설)</w:t>
      </w:r>
      <w:r>
        <w:t xml:space="preserve">: 당기순이익이 증가하는 동안 영업현금흐름이 순유출을 이어가, 이익의 현금 뒷받침 여부를 확인할 필요가 있는 신호로 판단됩니다.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근거(수치·출처)</w:t>
      </w:r>
      <w:r>
        <w:t xml:space="preserve">: 당기순이익 3.8→4조원, 영업현금흐름 −2.5→−2조원, 순이익 대비 영업현금흐름 비율 −0.49(임계값: 0.5 미만), 2년 연속 괴리 지속(persistentGapTwoYears). 발생액 비율은 0.9%로 상한(10%) 아래이며, 발화는 "2년 연속 저조" 경로에서 발생했습니다. 출처는 DART 재무제표 파생(E8, 마커 "발생액").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왜 문제인가(인과)</w:t>
      </w:r>
      <w:r>
        <w:t xml:space="preserve">: 이익은 늘어도 현금이 함께 들어오지 않는 구간이 지속되면, 이익의 일부가 회수 이전의 발생액에 얹혀 있을 가능성이 커집니다. 이 괴리가 정상 회수로 해소되면 일시적 시차이지만, 누적되면 보고이익과 실제 현금창출력 사이의 간극이 벌어져 배당·자본계획의 전제가 흔들릴 수 있습니다. </w:t>
      </w:r>
      <w:r>
        <w:rPr>
          <w:b/>
        </w:rPr>
        <w:t xml:space="preserve">다만 이 지표의 해석은 아래 한계 절의 업종 특성을 반드시 함께 보아야 합니다.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  <w:color w:val="1B2A4A"/>
        </w:rPr>
        <w:t xml:space="preserve">확신도. </w:t>
      </w:r>
      <w:r>
        <w:rPr>
          <w:b/>
          <w:color w:val="B45309"/>
        </w:rPr>
        <w:t xml:space="preserve">가설</w:t>
      </w:r>
      <w:r>
        <w:t xml:space="preserve"> — 지주·금융업 특성상 영업현금흐름이 대출·예수금 등 영업자산 변동에 크게 좌우되어, 제조업식 해석을 그대로 적용하기 어렵습니다.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  <w:color w:val="1B2A4A"/>
        </w:rPr>
        <w:t xml:space="preserve">판별 테스트. </w:t>
      </w:r>
      <w:r>
        <w:t xml:space="preserve">영업현금흐름을 (a) 대출채권·예수부채 등 영업자산·부채 변동분과 (b) 그 외로 분해하십시오. 순유출의 대부분이 (a)에서 나오면 사업 확장에 따른 구조적 현상으로, (b)에 몰리면 이익 품질 리스크로 갈립니다. 아울러 차기 분기 영업현금흐름 실측으로 괴리의 정상 회수 여부를 반증하십시오.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  <w:color w:val="1B2A4A"/>
        </w:rPr>
        <w:t xml:space="preserve">권고 조치. </w:t>
      </w:r>
      <w:r>
        <w:t xml:space="preserve">재무팀에 발생액 구성 분해와 수익 인식·추정 변경 주석 확인을 요청하고, 결과가 (a) 구조적으로 확인되면 본 신호를 정상으로 종결 처리하십시오.</w:t>
      </w:r>
    </w:p>
    <w:p>
      <w:pPr>
        <w:pStyle w:val="Heading1"/>
      </w:pPr>
      <w:r>
        <w:rPr>
          <w:b/>
          <w:color w:val="1B2A4A"/>
        </w:rPr>
        <w:t xml:space="preserve">참고 — 이번 창에서 발화하지 않은 축</w:t>
      </w:r>
    </w:p>
    <w:p>
      <w:pPr>
        <w:jc w:val="both"/>
      </w:pPr>
      <w:r>
        <w:t xml:space="preserve">수익-채권 괴리, 재고자산 적체, 유동성(유동비율) 축은 은행·지주 재무제표 계정 구조상 해당 계정을 표준 위치에서 확인하지 못해 </w:t>
      </w:r>
      <w:r>
        <w:rPr>
          <w:b/>
        </w:rPr>
        <w:t xml:space="preserve">평가 불가(미발화)</w:t>
      </w:r>
      <w:r>
        <w:t xml:space="preserve"> 상태입니다. 차입·이자보상 축은 지표가 산출되었으나 </w:t>
      </w:r>
      <w:r>
        <w:rPr>
          <w:b/>
        </w:rPr>
        <w:t xml:space="preserve">임계값 미달로 미발화</w:t>
      </w:r>
      <w:r>
        <w:t xml:space="preserve">했습니다. 이들은 리스크로 승격하지 않으며, 계정 매핑이 확보되는 시점에 재평가 대상입니다.</w:t>
      </w:r>
    </w:p>
    <w:p>
      <w:pPr>
        <w:pStyle w:val="Heading1"/>
      </w:pPr>
      <w:r>
        <w:rPr>
          <w:b/>
          <w:color w:val="1B2A4A"/>
        </w:rPr>
        <w:t xml:space="preserve">확인 범위와 한계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업종 적합성</w:t>
      </w:r>
      <w:r>
        <w:t xml:space="preserve">: 본 진단 프레임워크의 외부 신호(E1~E8)는 일반 사업회사 기준으로 설계되어, </w:t>
      </w:r>
      <w:r>
        <w:rPr>
          <w:b/>
        </w:rPr>
        <w:t xml:space="preserve">금융지주회사인 하나금융지주에는 일부 축이 구조적으로 부합하지 않습니다.</w:t>
      </w:r>
      <w:r>
        <w:t xml:space="preserve"> 특히 발생액·영업현금흐름 축은 은행 영업자산 변동의 영향을 크게 받으므로, E8 신호는 "이상"이 아니라 "업종 특성 확인이 선행되어야 하는 신호"로 다루어야 합니다.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데이터 범위</w:t>
      </w:r>
      <w:r>
        <w:t xml:space="preserve">: DART 연결 재무제표(FY2025)와 공시목록 90일창, 한국은행 기준금리(2.5%, 변동 0)에 근거하며, 내부 CSV·뉴스·시장·문서 축은 이번 진단에 제공되지 않았습니다. 거래처 집중·원가 왜곡·공시 대사(INV-8) 등 상세 축은 열리지 않았습니다.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신호의 성격</w:t>
      </w:r>
      <w:r>
        <w:t xml:space="preserve">: 발화한 2건은 모두 </w:t>
      </w:r>
      <w:r>
        <w:rPr>
          <w:b/>
        </w:rPr>
        <w:t xml:space="preserve">가설 단계</w:t>
      </w:r>
      <w:r>
        <w:t xml:space="preserve">이며, 어느 것도 회계 오류나 부정을 뜻하지 않습니다. 각 리스크의 판별 테스트로 확인·반증하기 전까지는 조사 착수 근거로만 활용하시기 바랍니다.</w:t>
      </w:r>
    </w:p>
    <w:sectPr>
      <w:headerReference w:type="default" r:id="rIdHeader"/>
      <w:footerReference w:type="default" r:id="rIdFooter"/>
      <w:pgSz w:w="11906" w:h="16838"/>
      <w:pgMar w:top="1418" w:right="1418" w:bottom="1418" w:left="1418" w:header="709" w:footer="709" w:gutter="0"/>
      <w:titlePg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4" w:color="D9D9D9"/>
      </w:pBdr>
      <w:tabs>
        <w:tab w:val="right" w:pos="9070"/>
      </w:tabs>
      <w:spacing w:after="0"/>
    </w:pPr>
    <w:r>
      <w:rPr>
        <w:color w:val="A6A6A6"/>
        <w:sz w:val="16"/>
      </w:rPr>
      <w:t xml:space="preserve">Management risk briefing | Not investment advice</w:t>
    </w:r>
    <w:r>
      <w:rPr>
        <w:color w:val="A6A6A6"/>
        <w:sz w:val="16"/>
      </w:rPr>
      <w:tab/>
    </w:r>
    <w:r>
      <w:fldChar w:fldCharType="begin"/>
    </w:r>
    <w:r>
      <w:rPr>
        <w:color w:val="A6A6A6"/>
        <w:sz w:val="16"/>
      </w:rPr>
      <w:instrText xml:space="preserve"> PAGE </w:instrText>
    </w:r>
    <w:r>
      <w:fldChar w:fldCharType="end"/>
    </w:r>
  </w:p>
</w:ftr>
</file>

<file path=word/header1.xml><?xml version="1.0" encoding="utf-8"?>
<w:hdr xmlns:w="http://schemas.openxmlformats.org/wordprocessingml/2006/main">
  <w:p>
    <w:pPr>
      <w:pBdr>
        <w:bottom w:val="single" w:sz="4" w:space="4" w:color="D9D9D9"/>
      </w:pBdr>
      <w:tabs>
        <w:tab w:val="right" w:pos="9070"/>
      </w:tabs>
      <w:spacing w:after="0"/>
    </w:pPr>
    <w:r>
      <w:rPr>
        <w:color w:val="A6A6A6"/>
        <w:sz w:val="16"/>
      </w:rPr>
      <w:t xml:space="preserve">CEO Risk Briefing</w:t>
    </w:r>
    <w:r>
      <w:rPr>
        <w:color w:val="A6A6A6"/>
        <w:sz w:val="16"/>
      </w:rPr>
      <w:tab/>
    </w:r>
    <w:r>
      <w:rPr>
        <w:b/>
        <w:color w:val="D04A02"/>
        <w:sz w:val="16"/>
      </w:rPr>
      <w:t>Confidential</w:t>
    </w:r>
  </w:p>
</w:hdr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  <w:pPr>
        <w:ind w:left="425" w:hanging="212"/>
      </w:pPr>
      <w:rPr>
        <w:color w:val="D04A02"/>
      </w:rPr>
    </w:lvl>
    <w:lvl w:ilvl="1">
      <w:numFmt w:val="bullet"/>
      <w:lvlText w:val="–"/>
      <w:pPr>
        <w:ind w:left="850" w:hanging="212"/>
      </w:pPr>
      <w:rPr>
        <w:color w:val="595959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Malgun Gothic" w:eastAsia="Malgun Gothic" w:hAnsi="Malgun Gothic" w:cs="Malgun Gothic"/>
        <w:sz w:val="21"/>
        <w:szCs w:val="21"/>
        <w:lang w:val="ko-KR" w:eastAsia="ko-KR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400" w:after="160"/>
      <w:pBdr>
        <w:bottom w:val="single" w:sz="8" w:space="4" w:color="D04A02"/>
      </w:pBdr>
      <w:outlineLvl w:val="0"/>
    </w:pPr>
    <w:rPr>
      <w:b/>
      <w:color w:val="1B2A4A"/>
      <w:sz w:val="27"/>
      <w:szCs w:val="27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color w:val="1B2A4A"/>
      <w:sz w:val="23"/>
      <w:szCs w:val="23"/>
    </w:rPr>
  </w:style>
  <w:style w:type="paragraph" w:styleId="ListParagraph">
    <w:name w:val="List Paragraph"/>
    <w:basedOn w:val="Normal"/>
    <w:pPr>
      <w:spacing w:after="80"/>
      <w:ind w:left="425"/>
    </w:pPr>
  </w:style>
  <w:style w:type="character" w:styleId="Hyperlink">
    <w:name w:val="Hyperlink"/>
    <w:rPr>
      <w:color w:val="1155CC"/>
      <w:u w:val="single"/>
    </w:rPr>
  </w:style>
  <w:style w:type="table" w:styleId="TableGrid">
    <w:name w:val="Table Grid"/>
  </w:style>
</w:styles>
</file>

<file path=word/_rels/document.xml.rels><?xml version="1.0" encoding="UTF-8" standalone="yes"?>
<Relationships xmlns="http://schemas.openxmlformats.org/package/2006/relationships">
<Relationship Id="rIdStyles" Type="http://schemas.openxmlformats.org/officeDocument/2006/relationships/styles" Target="styles.xml"/>
<Relationship Id="rIdNumbering" Type="http://schemas.openxmlformats.org/officeDocument/2006/relationships/numbering" Target="numbering.xml"/>
<Relationship Id="rIdHeader" Type="http://schemas.openxmlformats.org/officeDocument/2006/relationships/header" Target="header1.xml"/>
<Relationship Id="rIdFooter" Type="http://schemas.openxmlformats.org/officeDocument/2006/relationships/footer" Target="footer1.xml"/>
<Relationship Id="rIdSnapshot" Type="http://schemas.openxmlformats.org/officeDocument/2006/relationships/image" Target="media/executive-summary.png"/>

</Relationships>
</file>

<file path=docProps/app.xml><?xml version="1.0" encoding="utf-8"?>
<Properties xmlns="http://schemas.openxmlformats.org/officeDocument/2006/extended-properties">
  <Application>trusted-ceo-agent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CEO 서명용 경영리스크 브리핑 — (주)하나금융지주</dc:title>
  <dc:creator>Trusted CEO Agent</dc:creator>
  <cp:lastModifiedBy>Trusted CEO Agent</cp:lastModifiedBy>
  <dcterms:created xsi:type="dcterms:W3CDTF">2026-07-11T00:00:00Z</dcterms:created>
  <dcterms:modified xsi:type="dcterms:W3CDTF">2026-07-11T00:00:00Z</dcterms:modified>
</cp:coreProperties>
</file>