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color="auto" w:fill="D04A02"/>
        <w:spacing w:before="0" w:after="480"/>
      </w:pPr>
      <w:r>
        <w:t xml:space="preserve"> </w:t>
      </w:r>
    </w:p>
    <w:p>
      <w:pPr>
        <w:spacing w:before="1200" w:after="120"/>
      </w:pPr>
      <w:r>
        <w:rPr>
          <w:color w:val="595959"/>
          <w:sz w:val="22"/>
          <w:szCs w:val="22"/>
        </w:rPr>
        <w:t xml:space="preserve">CEO 경영 리스크 브리핑</w:t>
      </w:r>
    </w:p>
    <w:p>
      <w:pPr>
        <w:spacing w:after="360"/>
      </w:pPr>
      <w:r>
        <w:rPr>
          <w:b/>
          <w:color w:val="1B2A4A"/>
          <w:sz w:val="52"/>
          <w:szCs w:val="52"/>
        </w:rPr>
        <w:t xml:space="preserve">삼성물산 CEO 리스크 브리핑</w:t>
      </w:r>
    </w:p>
    <w:p>
      <w:pPr>
        <w:spacing w:after="600"/>
      </w:pPr>
      <w:r>
        <w:rPr>
          <w:b/>
          <w:color w:val="D04A02"/>
          <w:sz w:val="20"/>
          <w:szCs w:val="20"/>
        </w:rPr>
        <w:t xml:space="preserve">대외비 · Confidential</w:t>
      </w:r>
    </w:p>
    <w:p>
      <w:pPr>
        <w:pBdr>
          <w:left w:val="single" w:sz="24" w:space="8" w:color="D04A02"/>
        </w:pBdr>
        <w:spacing w:after="80"/>
        <w:ind w:left="284"/>
      </w:pPr>
      <w:r>
        <w:rPr>
          <w:b/>
          <w:color w:val="1B2A4A"/>
          <w:sz w:val="20"/>
          <w:szCs w:val="20"/>
        </w:rPr>
        <w:t xml:space="preserve">작성 기준  </w:t>
      </w:r>
      <w:r>
        <w:rPr>
          <w:color w:val="595959"/>
          <w:sz w:val="20"/>
          <w:szCs w:val="20"/>
        </w:rPr>
        <w:t xml:space="preserve">2026-07-09 실행 결과</w:t>
      </w:r>
    </w:p>
    <w:p>
      <w:pPr>
        <w:pBdr>
          <w:left w:val="single" w:sz="24" w:space="8" w:color="D04A02"/>
        </w:pBdr>
        <w:spacing w:after="80"/>
        <w:ind w:left="284"/>
      </w:pPr>
      <w:r>
        <w:rPr>
          <w:b/>
          <w:color w:val="1B2A4A"/>
          <w:sz w:val="20"/>
          <w:szCs w:val="20"/>
        </w:rPr>
        <w:t xml:space="preserve">대상 법인  </w:t>
      </w:r>
      <w:r>
        <w:rPr>
          <w:color w:val="595959"/>
          <w:sz w:val="20"/>
          <w:szCs w:val="20"/>
        </w:rPr>
        <w:t xml:space="preserve">삼성물산(주), 종목코드 028260, DART corp_code 00149655</w:t>
      </w:r>
    </w:p>
    <w:p>
      <w:pPr>
        <w:pBdr>
          <w:left w:val="single" w:sz="24" w:space="8" w:color="D04A02"/>
        </w:pBdr>
        <w:spacing w:after="80"/>
        <w:ind w:left="284"/>
      </w:pPr>
      <w:r>
        <w:rPr>
          <w:b/>
          <w:color w:val="1B2A4A"/>
          <w:sz w:val="20"/>
          <w:szCs w:val="20"/>
        </w:rPr>
        <w:t xml:space="preserve">식별 기준  </w:t>
      </w:r>
      <w:r>
        <w:rPr>
          <w:color w:val="595959"/>
          <w:sz w:val="20"/>
          <w:szCs w:val="20"/>
        </w:rPr>
        <w:t xml:space="preserve">사업자등록번호 202-81-45975, 국세청 상태조회 계속사업자</w:t>
      </w:r>
    </w:p>
    <w:p>
      <w:pPr>
        <w:pBdr>
          <w:left w:val="single" w:sz="24" w:space="8" w:color="D04A02"/>
        </w:pBdr>
        <w:spacing w:after="80"/>
        <w:ind w:left="284"/>
      </w:pPr>
      <w:r>
        <w:rPr>
          <w:b/>
          <w:color w:val="1B2A4A"/>
          <w:sz w:val="20"/>
          <w:szCs w:val="20"/>
        </w:rPr>
        <w:t xml:space="preserve">분석 데이터  </w:t>
      </w:r>
      <w:r>
        <w:rPr>
          <w:color w:val="595959"/>
          <w:sz w:val="20"/>
          <w:szCs w:val="20"/>
        </w:rPr>
        <w:t xml:space="preserve">DART 2023년 연결 사업보고서 재무제표, 최근 90일 공시, ECOS 기준금리</w:t>
      </w:r>
    </w:p>
    <w:p>
      <w:pPr>
        <w:spacing w:before="2400" w:after="0"/>
      </w:pPr>
      <w:r>
        <w:rPr>
          <w:color w:val="A6A6A6"/>
          <w:sz w:val="16"/>
          <w:szCs w:val="16"/>
        </w:rPr>
        <w:t xml:space="preserve">본 보고서는 trusted-ceo-agent 진단 파이프라인(불변식 게이트 → 결정론 신호 파생 → 자동 채점)을 통과한 데이터에 기반해 작성되었으며, CEO 경영 판단 보조 자료로서 투자자문·투자권유가 아닙니다.</w:t>
      </w:r>
    </w:p>
    <w:p>
      <w:r>
        <w:br w:type="page"/>
      </w:r>
    </w:p>
    <w:p>
      <w:pPr>
        <w:pStyle w:val="Heading1"/>
      </w:pPr>
      <w:r>
        <w:rPr>
          <w:b/>
          <w:color w:val="1B2A4A"/>
        </w:rPr>
        <w:t xml:space="preserve">핵심 리스크 한눈에 보기</w:t>
      </w:r>
    </w:p>
    <w:tbl>
      <w:tblPr>
        <w:tblStyle w:val="TableGrid"/>
        <w:tblW w:w="907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700" w:type="dxa"/>
            <w:shd w:val="clear" w:color="auto" w:fill="F2E8E0"/>
            <w:vAlign w:val="center"/>
          </w:tcPr>
          <w:p>
            <w:pPr>
              <w:spacing w:before="60" w:after="60"/>
            </w:pPr>
            <w:r>
              <w:rPr>
                <w:b/>
                <w:color w:val="1B2A4A"/>
                <w:sz w:val="19"/>
                <w:szCs w:val="19"/>
              </w:rPr>
              <w:t xml:space="preserve">구분</w:t>
            </w:r>
          </w:p>
        </w:tc>
        <w:tc>
          <w:tcPr>
            <w:tcW w:w="3300" w:type="dxa"/>
            <w:shd w:val="clear" w:color="auto" w:fill="F2E8E0"/>
            <w:vAlign w:val="center"/>
          </w:tcPr>
          <w:p>
            <w:pPr>
              <w:spacing w:before="60" w:after="60"/>
            </w:pPr>
            <w:r>
              <w:rPr>
                <w:b/>
                <w:color w:val="1B2A4A"/>
                <w:sz w:val="19"/>
                <w:szCs w:val="19"/>
              </w:rPr>
              <w:t xml:space="preserve">리스크</w:t>
            </w:r>
          </w:p>
        </w:tc>
        <w:tc>
          <w:tcPr>
            <w:tcW w:w="1100" w:type="dxa"/>
            <w:shd w:val="clear" w:color="auto" w:fill="F2E8E0"/>
            <w:vAlign w:val="center"/>
          </w:tcPr>
          <w:p>
            <w:pPr>
              <w:spacing w:before="60" w:after="60"/>
            </w:pPr>
            <w:r>
              <w:rPr>
                <w:b/>
                <w:color w:val="1B2A4A"/>
                <w:sz w:val="19"/>
                <w:szCs w:val="19"/>
              </w:rPr>
              <w:t xml:space="preserve">확신도</w:t>
            </w:r>
          </w:p>
        </w:tc>
        <w:tc>
          <w:tcPr>
            <w:tcW w:w="3970" w:type="dxa"/>
            <w:shd w:val="clear" w:color="auto" w:fill="F2E8E0"/>
            <w:vAlign w:val="center"/>
          </w:tcPr>
          <w:p>
            <w:pPr>
              <w:spacing w:before="60" w:after="60"/>
            </w:pPr>
            <w:r>
              <w:rPr>
                <w:b/>
                <w:color w:val="1B2A4A"/>
                <w:sz w:val="19"/>
                <w:szCs w:val="19"/>
              </w:rPr>
              <w:t xml:space="preserve">최우선 조치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60" w:after="60"/>
            </w:pPr>
            <w:r>
              <w:rPr>
                <w:b/>
                <w:color w:val="D04A02"/>
                <w:sz w:val="19"/>
                <w:szCs w:val="19"/>
              </w:rPr>
              <w:t xml:space="preserve">R1</w:t>
            </w:r>
          </w:p>
        </w:tc>
        <w:tc>
          <w:tcPr>
            <w:tcW w:w="3300" w:type="dxa"/>
            <w:vAlign w:val="center"/>
          </w:tcPr>
          <w:p>
            <w:pPr>
              <w:spacing w:before="60" w:after="60"/>
            </w:pPr>
            <w:r>
              <w:rPr>
                <w:b/>
                <w:sz w:val="19"/>
                <w:szCs w:val="19"/>
              </w:rPr>
              <w:t xml:space="preserve">공시 정정 빈도 증가에 따른 공시 품질 관리 리스크</w:t>
            </w:r>
          </w:p>
        </w:tc>
        <w:tc>
          <w:tcPr>
            <w:tcW w:w="1100" w:type="dxa"/>
            <w:vAlign w:val="center"/>
          </w:tcPr>
          <w:p>
            <w:pPr>
              <w:spacing w:before="60" w:after="60"/>
            </w:pPr>
            <w:r>
              <w:rPr>
                <w:b/>
                <w:color w:val="B45309"/>
                <w:sz w:val="19"/>
                <w:szCs w:val="19"/>
              </w:rPr>
              <w:t xml:space="preserve">확인 필요</w:t>
            </w:r>
          </w:p>
        </w:tc>
        <w:tc>
          <w:tcPr>
            <w:tcW w:w="3970" w:type="dxa"/>
            <w:vAlign w:val="center"/>
          </w:tcPr>
          <w:p>
            <w:pPr>
              <w:spacing w:before="60" w:after="60"/>
            </w:pPr>
            <w:r>
              <w:rPr>
                <w:sz w:val="19"/>
                <w:szCs w:val="19"/>
              </w:rPr>
              <w:t xml:space="preserve">IR/공시 담당: 최근 90일 정정 공시 7건을 단순 오기, 일정 변경, 계약 조건 변경, 재무 수치 변경으로 분류</w:t>
            </w:r>
          </w:p>
        </w:tc>
      </w:tr>
    </w:tbl>
    <w:p>
      <w:pPr>
        <w:spacing w:before="80" w:after="240"/>
      </w:pPr>
      <w:r>
        <w:rPr>
          <w:color w:val="A6A6A6"/>
          <w:sz w:val="17"/>
          <w:szCs w:val="17"/>
        </w:rPr>
        <w:t xml:space="preserve">표의 확신도는 본문 각 리스크 절의 확신도 표기를 그대로 요약한 것입니다. 상세 근거 수치와 판별 테스트는 본문을 참조하십시오.</w:t>
      </w:r>
    </w:p>
    <w:p>
      <w:pPr>
        <w:pStyle w:val="Heading1"/>
      </w:pPr>
      <w:r>
        <w:rPr>
          <w:b/>
          <w:color w:val="1B2A4A"/>
        </w:rPr>
        <w:t xml:space="preserve">요약 결론</w:t>
      </w:r>
    </w:p>
    <w:p>
      <w:pPr>
        <w:pBdr>
          <w:left w:val="single" w:sz="24" w:space="8" w:color="D04A02"/>
        </w:pBdr>
        <w:shd w:val="clear" w:color="auto" w:fill="FBF4EE"/>
        <w:spacing w:before="60" w:after="120" w:line="276" w:lineRule="auto"/>
        <w:ind w:left="284" w:right="284"/>
        <w:jc w:val="both"/>
      </w:pPr>
      <w:r>
        <w:t xml:space="preserve">이번 실행에서 플러그인이 리스크로 판정한 PRESENT 신호는 1건입니다. 최근 90일 공시 30건 중 정정 공시가 7건으로 감지되어, 재무 수치 자체보다 공시 검수 체인과 정정 사유 분류를 먼저 점검할 필요가 있습니다.</w:t>
      </w:r>
    </w:p>
    <w:p>
      <w:pPr>
        <w:pBdr>
          <w:left w:val="single" w:sz="24" w:space="8" w:color="D04A02"/>
        </w:pBdr>
        <w:shd w:val="clear" w:color="auto" w:fill="FBF4EE"/>
        <w:spacing w:before="60" w:after="120" w:line="276" w:lineRule="auto"/>
        <w:ind w:left="284" w:right="284"/>
        <w:jc w:val="both"/>
      </w:pPr>
      <w:r>
        <w:t xml:space="preserve">수익-채권 괴리, 재고 적체, 차입 확대, 유동성 하락은 현재 기준에서 PRESENT로 판정되지 않았습니다. 다만 내부 표준 CSV 3종(trial_balance.csv, ar_aging.csv, cost_allocation.csv)이 제공되지 않아 거래처별 채권 집중, 원가 배부 왜곡, 내부 장부 불변식 검증은 수행하지 못했습니다.</w:t>
      </w:r>
    </w:p>
    <w:p>
      <w:pPr>
        <w:pStyle w:val="Heading1"/>
      </w:pPr>
      <w:r>
        <w:rPr>
          <w:b/>
          <w:color w:val="1B2A4A"/>
        </w:rPr>
        <w:t xml:space="preserve">1. 공시 정정 빈도 증가에 따른 공시 품질 관리 리스크</w:t>
      </w:r>
    </w:p>
    <w:p>
      <w:pPr>
        <w:jc w:val="both"/>
      </w:pPr>
      <w:r>
        <w:rPr>
          <w:b/>
          <w:color w:val="1B2A4A"/>
        </w:rPr>
        <w:t xml:space="preserve">결론. </w:t>
      </w:r>
      <w:r>
        <w:t xml:space="preserve">최근 90일 공시 30건 중 정정 공시가 7건 감지되었습니다. 단순 서식 정정인지, 수치 또는 계약 조건 변경인지 분류하지 않으면 외부 이해관계자 커뮤니케이션 품질 리스크가 누적될 수 있습니다.</w:t>
      </w:r>
    </w:p>
    <w:p>
      <w:pPr>
        <w:jc w:val="both"/>
      </w:pPr>
      <w:r>
        <w:rPr>
          <w:b/>
          <w:color w:val="1B2A4A"/>
        </w:rPr>
        <w:t xml:space="preserve">근거. 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DART 공시 조회 기간: 최근 90일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총 공시 건수: 30건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정정 공시 감지: 7건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해명 또는 풍문 공시: 감지 없음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감사 관련 플래그: 감지 없음</w:t>
      </w:r>
    </w:p>
    <w:p>
      <w:pPr>
        <w:jc w:val="both"/>
      </w:pPr>
      <w:r>
        <w:rPr>
          <w:b/>
          <w:color w:val="1B2A4A"/>
        </w:rPr>
        <w:t xml:space="preserve">왜 문제인가. </w:t>
      </w:r>
      <w:r>
        <w:t xml:space="preserve">정정 공시가 모두 중대한 오류를 의미하지는 않습니다. 그러나 정정 빈도가 높으면 최초 공시 전 검토 단계, 수치 확정 책임자, 법무/IR 승인 라인 중 어디에서 반복적인 수정 원인이 발생하는지 확인해야 합니다. 특히 수주, 투자, 특수관계자 거래, 재무 수치와 연결되는 정정이면 단순 오기보다 내부 통제 이슈로 분류해야 합니다.</w:t>
      </w:r>
    </w:p>
    <w:p>
      <w:pPr>
        <w:jc w:val="both"/>
      </w:pPr>
      <w:r>
        <w:rPr>
          <w:b/>
          <w:color w:val="1B2A4A"/>
        </w:rPr>
        <w:t xml:space="preserve">확신도. </w:t>
      </w:r>
      <w:r>
        <w:rPr>
          <w:b/>
          <w:color w:val="B45309"/>
        </w:rPr>
        <w:t xml:space="preserve">확인 필요</w:t>
      </w:r>
      <w:r>
        <w:t xml:space="preserve">. 플러그인은 제목/메타데이터 수준에서 정정 패턴을 감지했으며, 각 정정 공시의 본문 diff와 정정 사유 원문 분류는 아직 수행하지 않았습니다.</w:t>
      </w:r>
    </w:p>
    <w:p>
      <w:pPr>
        <w:jc w:val="both"/>
      </w:pPr>
      <w:r>
        <w:rPr>
          <w:b/>
          <w:color w:val="1B2A4A"/>
        </w:rPr>
        <w:t xml:space="preserve">권고 조치. 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IR/공시 담당: 최근 90일 정정 공시 7건을 단순 오기, 일정 변경, 계약 조건 변경, 재무 수치 변경으로 분류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재무/법무/사업부: 수치 또는 조건 변경 정정 건은 최초 입력자, 검토자, 승인자를 역추적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CEO 보고: 중대한 정정 건이 있으면 다음 이사회 또는 경영회의에 원인, 재발 방지책, 책임 부서를 1페이지로 보고</w:t>
      </w:r>
    </w:p>
    <w:p>
      <w:pPr>
        <w:jc w:val="both"/>
      </w:pPr>
      <w:r>
        <w:rPr>
          <w:b/>
          <w:color w:val="1B2A4A"/>
        </w:rPr>
        <w:t xml:space="preserve">추가 확인 절차. 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정정 전후 공시 원문 비교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정정 대상 공시의 사업부, 금액, 계약상대방, 재무제표 영향 여부 태깅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반복 발생 부서 또는 공시 유형이 있는지 6개월 범위로 확장 점검</w:t>
      </w:r>
    </w:p>
    <w:p>
      <w:pPr>
        <w:pStyle w:val="Heading1"/>
      </w:pPr>
      <w:r>
        <w:rPr>
          <w:b/>
          <w:color w:val="1B2A4A"/>
        </w:rPr>
        <w:t xml:space="preserve">확인 범위와 한계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기업 식별: 공개 사업자등록번호 조회에서 삼성물산(주) 사업자등록번호 202-81-45975를 확인했고, 로컬 식별 게이트에서 체크섬 및 국세청 상태조회가 통과했습니다.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DART 식별: 회사명 검색은 동명이인 후보 때문에 잘못된 corp_code를 먼저 선택했습니다. 종목코드 028260으로 재조회하여 삼성물산(주), corp_code 00149655, 사업자번호 2028145975를 사용했습니다.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재무 기준: 자동 진단은 2023년 연결 사업보고서 재무제표를 사용했습니다. 기본 자동 연도 후보였던 2025/2024 조회는 DART 응답이 비어 있어 2023년으로 좁혀 실행했습니다.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내부 데이터: trial_balance.csv, ar_aging.csv, cost_allocation.csv가 제공되지 않아 내부 장부 기반 신호는 미평가입니다.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뉴스: 이번 실행 산출물에는 네이버 뉴스 신호가 포함되지 않았습니다.</w:t>
      </w:r>
    </w:p>
    <w:p>
      <w:pPr>
        <w:pStyle w:val="Heading1"/>
      </w:pPr>
      <w:r>
        <w:rPr>
          <w:b/>
          <w:color w:val="1B2A4A"/>
        </w:rPr>
        <w:t xml:space="preserve">참고로 PRESENT가 아니었던 외부 신호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수익-채권 괴리: 매출 성장률 -2.9%, 매출채권 성장률 -4.5%, OCF/영업이익 0.98로 PRESENT 아님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재고 자산 적체: 재고 성장률 8.8%, 매출 대비 괴리 11.7%p로 기준치 15%p 미만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차입 확대/이자 부담: 차입금 4.2조에서 3.0조로 감소, 이자보상 12.1배로 기준치 10배 상회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유동성 하락: 유동비율 129.7% -&gt; 123.8% -&gt; 128.6%, 2년 연속 하락 아님</w:t>
      </w:r>
    </w:p>
    <w:p>
      <w:pPr>
        <w:pStyle w:val="Heading1"/>
      </w:pPr>
      <w:r>
        <w:rPr>
          <w:b/>
          <w:color w:val="1B2A4A"/>
        </w:rPr>
        <w:t xml:space="preserve">출처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로컬 산출물: outputs/samsung-ct-ceo-pipeline/identity.json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로컬 산출물: outputs/samsung-ct-ceo-pipeline/diagnostic-packet.json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삼성물산 공식 사이트: https://www.samsungcnt.com/</w:t>
      </w:r>
    </w:p>
    <w:p>
      <w:pPr>
        <w:pStyle w:val="ListParagraph"/>
        <w:numPr>
          <w:ilvl w:val="0"/>
          <w:numId w:val="1"/>
        </w:numPr>
        <w:jc w:val="both"/>
      </w:pPr>
      <w:r>
        <w:t xml:space="preserve">사업자등록번호 공개 조회: https://bizno.net/article/2028145975</w:t>
      </w:r>
    </w:p>
    <w:p>
      <w:pPr>
        <w:spacing w:before="360" w:after="0"/>
        <w:jc w:val="center"/>
      </w:pPr>
      <w:r>
        <w:rPr>
          <w:i/>
          <w:color w:val="A6A6A6"/>
          <w:sz w:val="18"/>
          <w:szCs w:val="18"/>
        </w:rPr>
        <w:t xml:space="preserve">본 문서는 CEO 경영 판단 보조 자료이며 투자자문 또는 투자권유가 아닙니다.</w:t>
      </w:r>
    </w:p>
    <w:sectPr>
      <w:footerReference w:type="default" r:id="rIdFooter"/>
      <w:pgSz w:w="11906" w:h="16838"/>
      <w:pgMar w:top="1418" w:right="1418" w:bottom="1418" w:left="1418" w:header="709" w:footer="709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D9D9D9"/>
      </w:pBdr>
      <w:tabs>
        <w:tab w:val="right" w:pos="9070"/>
      </w:tabs>
      <w:spacing w:after="0"/>
    </w:pPr>
    <w:r>
      <w:rPr>
        <w:color w:val="A6A6A6"/>
        <w:sz w:val="16"/>
      </w:rPr>
      <w:t xml:space="preserve">본 문서는 CEO 경영 판단 보조 자료이며 투자자문·투자권유가 아닙니다 · Trusted CEO Agent</w:t>
    </w:r>
    <w:r>
      <w:rPr>
        <w:color w:val="A6A6A6"/>
        <w:sz w:val="16"/>
      </w:rPr>
      <w:tab/>
    </w:r>
    <w:r>
      <w:fldChar w:fldCharType="begin"/>
    </w:r>
    <w:r>
      <w:rPr>
        <w:color w:val="A6A6A6"/>
        <w:sz w:val="16"/>
      </w:rP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425" w:hanging="212"/>
      </w:pPr>
      <w:rPr>
        <w:color w:val="D04A02"/>
      </w:rPr>
    </w:lvl>
    <w:lvl w:ilvl="1">
      <w:numFmt w:val="bullet"/>
      <w:lvlText w:val="–"/>
      <w:pPr>
        <w:ind w:left="850" w:hanging="212"/>
      </w:pPr>
      <w:rPr>
        <w:color w:val="595959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eastAsia="Malgun Gothic" w:hAnsi="Malgun Gothic" w:cs="Malgun Gothic"/>
        <w:sz w:val="21"/>
        <w:szCs w:val="21"/>
        <w:lang w:val="ko-KR" w:eastAsia="ko-KR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400" w:after="160"/>
      <w:pBdr>
        <w:bottom w:val="single" w:sz="8" w:space="4" w:color="D04A02"/>
      </w:pBdr>
      <w:outlineLvl w:val="0"/>
    </w:pPr>
    <w:rPr>
      <w:b/>
      <w:color w:val="1B2A4A"/>
      <w:sz w:val="27"/>
      <w:szCs w:val="27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color w:val="1B2A4A"/>
      <w:sz w:val="23"/>
      <w:szCs w:val="23"/>
    </w:rPr>
  </w:style>
  <w:style w:type="paragraph" w:styleId="ListParagraph">
    <w:name w:val="List Paragraph"/>
    <w:basedOn w:val="Normal"/>
    <w:pPr>
      <w:spacing w:after="80"/>
      <w:ind w:left="425"/>
    </w:pPr>
  </w:style>
  <w:style w:type="character" w:styleId="Hyperlink">
    <w:name w:val="Hyperlink"/>
    <w:rPr>
      <w:color w:val="1155CC"/>
      <w:u w:val="single"/>
    </w:r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Numbering" Type="http://schemas.openxmlformats.org/officeDocument/2006/relationships/numbering" Target="numbering.xml"/>
<Relationship Id="rIdFooter" Type="http://schemas.openxmlformats.org/officeDocument/2006/relationships/footer" Target="footer1.xml"/>

</Relationships>
</file>

<file path=docProps/app.xml><?xml version="1.0" encoding="utf-8"?>
<Properties xmlns="http://schemas.openxmlformats.org/officeDocument/2006/extended-properties">
  <Application>trusted-ceo-agent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삼성물산 CEO 리스크 브리핑</dc:title>
  <dc:creator>Trusted CEO Agent</dc:creator>
  <cp:lastModifiedBy>Trusted CEO Agent</cp:lastModifiedBy>
  <dcterms:created xsi:type="dcterms:W3CDTF">2026-07-01T00:00:00Z</dcterms:created>
  <dcterms:modified xsi:type="dcterms:W3CDTF">2026-07-01T00:00:00Z</dcterms:modified>
</cp:coreProperties>
</file>