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기아(주) CEO 서명용 경영리스크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기업  </w:t>
      </w:r>
      <w:r>
        <w:rPr>
          <w:color w:val="595959"/>
          <w:sz w:val="20"/>
          <w:szCs w:val="20"/>
        </w:rPr>
        <w:t xml:space="preserve">기아(주) (종목코드 000270, 사업자등록번호 119-81-02316)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대표이사  </w:t>
      </w:r>
      <w:r>
        <w:rPr>
          <w:color w:val="595959"/>
          <w:sz w:val="20"/>
          <w:szCs w:val="20"/>
        </w:rPr>
        <w:t xml:space="preserve">송호성·송민수 (각자 대표이사)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진단 기준  </w:t>
      </w:r>
      <w:r>
        <w:rPr>
          <w:color w:val="595959"/>
          <w:sz w:val="20"/>
          <w:szCs w:val="20"/>
        </w:rPr>
        <w:t xml:space="preserve">FY2025 연결재무제표(CFS) · 공시 관찰창 90일 · 한국은행 기준금리 2.5%(전기 대비 변동 없음)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데이터 축  </w:t>
      </w:r>
      <w:r>
        <w:rPr>
          <w:color w:val="595959"/>
          <w:sz w:val="20"/>
          <w:szCs w:val="20"/>
        </w:rPr>
        <w:t xml:space="preserve">DART 공시·거시(ECOS) — 내부 CSV·뉴스·시장·문서 축 미제공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종합 판정 — 결정론 신호 전 축 미발화 (특기 리스크 없음)</w:t>
      </w:r>
    </w:p>
    <w:p>
      <w:pPr>
        <w:jc w:val="both"/>
      </w:pPr>
      <w:r>
        <w:t xml:space="preserve">이번 진단에서 파생된 외부 신호 6종(E1 수익-채권 괴리, E2 재고 적체, E3 차입·이자, E4 유동성, E5 공시 행간, E8 발생액 품질)은 </w:t>
      </w:r>
      <w:r>
        <w:rPr>
          <w:b/>
        </w:rPr>
        <w:t xml:space="preserve">모두 임계값 미달로 미발화</w:t>
      </w:r>
      <w:r>
        <w:t xml:space="preserve">했습니다. 평가 가능(evaluable) 상태였으나 발화 조건에 도달한 축이 하나도 없어, </w:t>
      </w:r>
      <w:r>
        <w:rPr>
          <w:b/>
        </w:rPr>
        <w:t xml:space="preserve">서명 시점 기준으로 승격할 확정 리스크 또는 관찰 필요 가설이 없습니다.</w:t>
      </w:r>
    </w:p>
    <w:p>
      <w:pPr>
        <w:jc w:val="both"/>
      </w:pPr>
      <w:r>
        <w:t xml:space="preserve">따라서 본 브리핑은 개별 리스크 절 대신, 각 축이 왜 발화선 아래에 머물렀는지에 대한 정성 판단과 확인 범위·한계로 구성합니다. (규칙상 미발화 축의 근거 수치는 리스크 근거로 인용하지 않습니다.)</w:t>
      </w:r>
    </w:p>
    <w:p>
      <w:pPr>
        <w:pStyle w:val="Heading1"/>
      </w:pPr>
      <w:r>
        <w:rPr>
          <w:b/>
          <w:color w:val="1B2A4A"/>
        </w:rPr>
        <w:t xml:space="preserve">축별 정성 판단 (모두 미발화 — 참고용)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괴리(E1)</w:t>
      </w:r>
      <w:r>
        <w:t xml:space="preserve">: 매출 성장과 매출채권 증감 사이의 괴리가 임계 폭에 미달했고, 영업활동현금흐름의 이익 뒷받침도 정상 범위였습니다. 이익의 현금화 저조 징후는 관찰되지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재고 적체(E2)</w:t>
      </w:r>
      <w:r>
        <w:t xml:space="preserve">: 재고 증가율이 매출 성장 대비 앞서긴 하나 발화 임계 폭(15%p)에는 미달했습니다. 산업 특성상 계절·모델 사이클 재고로 해석되며, 리스크로 승격하지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차입·이자 부담(E3)</w:t>
      </w:r>
      <w:r>
        <w:t xml:space="preserve">: 차입 규모는 오히려 축소 방향이었고 이자보상배율도 임계 하한을 크게 상회했습니다. 이자 부담 리스크 신호는 없습니다.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유동성(E4)</w:t>
      </w:r>
      <w:r>
        <w:t xml:space="preserve">: 유동비율이 임계 하한을 상회하며 2년 연속 하락 조건에도 해당하지 않았습니다. 단기 지급능력 압박 징후는 확인되지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공시 행간(E5)</w:t>
      </w:r>
      <w:r>
        <w:t xml:space="preserve">: 관찰창 내 정정·해명 패턴이 발화 기준(정정 3건·해명 1건 이상)에 미달했습니다. 공시 품질·커뮤니케이션 리스크 신호는 없습니다.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품질(E8)</w:t>
      </w:r>
      <w:r>
        <w:t xml:space="preserve">: 총발생액 비율 및 이익-현금 지속 괴리 조건 모두 임계값 미달로, 이익 품질 저하 징후는 관찰되지 않았습니다.</w:t>
      </w:r>
    </w:p>
    <w:p>
      <w:pPr>
        <w:jc w:val="both"/>
      </w:pPr>
      <w:r>
        <w:t xml:space="preserve">&gt; 위 서술은 발화하지 않은 축의 상태 요약이며, 수치 근거를 나열하지 않습니다. 각 축의 상세 계산값은 진단 패킷 원본에서 확인하실 수 있습니다.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커버리지</w:t>
      </w:r>
      <w:r>
        <w:t xml:space="preserve">: 이번 진단은 </w:t>
      </w:r>
      <w:r>
        <w:rPr>
          <w:b/>
        </w:rPr>
        <w:t xml:space="preserve">DART 공시·거시지표 축만</w:t>
      </w:r>
      <w:r>
        <w:t xml:space="preserve"> 사용했습니다. 내부 CSV(거래처 집중·원가 왜곡·공시 대사), 뉴스·평판, 시장(시세·시총), 비정형 문서 축은 제공되지 않았으므로, 해당 축에서만 드러나는 리스크(예: 특정 거래처 매출 집중, 원가 배분 왜곡, 외부 문서 내 지시문)는 </w:t>
      </w:r>
      <w:r>
        <w:rPr>
          <w:b/>
        </w:rPr>
        <w:t xml:space="preserve">본 진단 범위 밖</w:t>
      </w:r>
      <w:r>
        <w:t xml:space="preserve">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관찰 단위</w:t>
      </w:r>
      <w:r>
        <w:t xml:space="preserve">: FY2025 연결 연간 재무제표 기준으로, 분기 내 변동이나 최근 90일 이후 발생한 사건은 반영되지 않았습니다. 신호의 "미발화"는 </w:t>
      </w:r>
      <w:r>
        <w:rPr>
          <w:b/>
        </w:rPr>
        <w:t xml:space="preserve">연간 관찰창에서 임계값에 닿지 않았다</w:t>
      </w:r>
      <w:r>
        <w:t xml:space="preserve">는 뜻이며, 리스크의 부재를 단정하는 것은 아닙니다.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판별 여지</w:t>
      </w:r>
      <w:r>
        <w:t xml:space="preserve">: E2(재고)는 임계선에 근접하지 않았으나 산업 사이클 특성상 다음 분기 재고자산회전율·평가손실 주석으로 추세를 재확인하시면 조기 신호 포착에 유용합니다.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결론의 성격</w:t>
      </w:r>
      <w:r>
        <w:t xml:space="preserve">: 본 브리핑의 "특기 리스크 없음"은 </w:t>
      </w:r>
      <w:r>
        <w:rPr>
          <w:b/>
        </w:rPr>
        <w:t xml:space="preserve">제공된 공시·거시 데이터 범위 내 결정론 판정</w:t>
      </w:r>
      <w:r>
        <w:t xml:space="preserve"> 결과이며, 상세 축(내부·뉴스·시장·문서) 데이터를 추가하면 진단 해상도가 높아집니다. 정밀 점검이 필요하시면 `--data-dir`(내부 CSV)·`--with-news`·`--with-market` 축을 추가한 재진단을 권고드립니다.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기아(주) CEO 서명용 경영리스크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