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대창단조(주)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수익-채권 괴리: 이익의 현금화가 매출 성장을 따라가지 못하고 있습니다 (E1)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재무 라인에 채권 연령·거래처별 회수 현황 보고를 요청하고, 상위 채권 거래처의 결제 조건 변경 여부를 확인해 주십시오.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박권일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대창단조(주) (종목코드 015230, 사업자등록번호 606-81-30107)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DART 공시 + 한국은행 거시지표 (최근 공시 관찰 창 90일)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관찰 기간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탐지 결과</w:t>
      </w:r>
      <w:r>
        <w:t xml:space="preserve">: 외부 신호 6종 평가 → </w:t>
      </w:r>
      <w:r>
        <w:rPr>
          <w:b/>
        </w:rPr>
        <w:t xml:space="preserve">발화 1건 (E1)</w:t>
      </w:r>
    </w:p>
    <w:p>
      <w:pPr>
        <w:pStyle w:val="Heading1"/>
      </w:pPr>
      <w:r>
        <w:rPr>
          <w:b/>
          <w:color w:val="1B2A4A"/>
        </w:rPr>
        <w:t xml:space="preserve">리스크 1 — 수익-채권 괴리: 이익의 현금화가 매출 성장을 따라가지 못하고 있습니다 (E1)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매출은 완만하게 성장했으나 매출채권이 그보다 훨씬 빠르게 불어나, 장부상 이익이 현금으로 회수되는 속도가 임계 수준 아래로 떨어졌습니다. 회수 지연 또는 기말 밀어내기성 매출 가능성을 점검할 시점입니다.</w:t>
      </w:r>
    </w:p>
    <w:p>
      <w:pPr>
        <w:jc w:val="both"/>
      </w:pPr>
      <w:r>
        <w:rPr>
          <w:b/>
        </w:rPr>
        <w:t xml:space="preserve">근거 (출처: DART 2025 연결재무제표 파생 계산)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 </w:t>
      </w:r>
      <w:r>
        <w:rPr>
          <w:b/>
        </w:rPr>
        <w:t xml:space="preserve">7.5%</w:t>
      </w:r>
      <w:r>
        <w:t xml:space="preserve"> vs 매출채권 증가율 </w:t>
      </w:r>
      <w:r>
        <w:rPr>
          <w:b/>
        </w:rPr>
        <w:t xml:space="preserve">28.3%</w:t>
      </w:r>
      <w:r>
        <w:t xml:space="preserve"> — 격차 </w:t>
      </w:r>
      <w:r>
        <w:rPr>
          <w:b/>
        </w:rPr>
        <w:t xml:space="preserve">20.9%p</w:t>
      </w:r>
      <w:r>
        <w:t xml:space="preserve"> (임계값 15%p 초과)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매출채권 잔액 규모: 0→0.1조 원 구간으로 증가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영업활동현금흐름/영업이익 비율 </w:t>
      </w:r>
      <w:r>
        <w:rPr>
          <w:b/>
        </w:rPr>
        <w:t xml:space="preserve">0.47</w:t>
      </w:r>
      <w:r>
        <w:t xml:space="preserve"> — 하한 기준 0.8 미달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매출이 늘어난 폭보다 채권이 훨씬 크게 늘었다는 것은, 새로 인식된 매출의 상당 부분이 아직 현금으로 들어오지 않았다는 뜻입니다. 이 상태가 이어지면 ① 회수가 늦어지는 만큼 운전자본이 잠기고, ② 잠긴 운전자본을 메우기 위해 외부 조달 의존이 커지며, ③ 만약 회수 지연의 원인이 특정 거래처의 신용 악화라면 대손이 이익을 소급해서 갉아먹게 됩니다. 즉 지금의 이익 숫자가 미래 현금을 담보하지 못할 수 있다는 것이 이 신호의 본질입니다.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— 재무제표 수치상 괴리는 확인되었으나, 원인(회수 조건 변경·특정 거래처 지연·기말 집중 매출 등)은 아직 판별되지 않았습니다.</w:t>
      </w:r>
    </w:p>
    <w:p>
      <w:pPr>
        <w:jc w:val="both"/>
      </w:pPr>
      <w:r>
        <w:rPr>
          <w:b/>
        </w:rPr>
        <w:t xml:space="preserve">판별 테스트 (반증 가능하도록 설계)</w:t>
      </w:r>
    </w:p>
    <w:p>
      <w:pPr>
        <w:jc w:val="both"/>
      </w:pPr>
      <w:r>
        <w:t xml:space="preserve">1. 분기보고서로 채권 증가가 특정 분기(특히 4분기)에 집중되었는지 시점을 좁혀 주십시오 — 기말 집중이면 밀어내기 가설이 강화되고, 연중 고르게 분포하면 약화됩니다.</w:t>
      </w:r>
    </w:p>
    <w:p>
      <w:pPr>
        <w:jc w:val="both"/>
      </w:pPr>
      <w:r>
        <w:t xml:space="preserve">2. 대손충당금 설정률 추이를 확인해 주십시오 — 채권이 늘었는데 설정률이 오히려 낮아졌다면 회수 위험이 과소 반영된 것입니다.</w:t>
      </w:r>
    </w:p>
    <w:p>
      <w:pPr>
        <w:jc w:val="both"/>
      </w:pPr>
      <w:r>
        <w:t xml:space="preserve">3. 주석의 매출채권 연령 분석에서 6개월 초과 구간의 비중 변화를 확인해 주십시오 — 장기 체류 채권이 늘고 있다면 일시적 괴리가 아니라 구조적 회수 문제입니다.</w:t>
      </w:r>
    </w:p>
    <w:p>
      <w:pPr>
        <w:jc w:val="both"/>
      </w:pPr>
      <w:r>
        <w:t xml:space="preserve">4. 차기 분기 영업현금흐름이 이번에 벌어진 격차를 회수하는지 실측해 주십시오 — 회수되면 일시 괴리로 반증됩니다.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재무 라인에 채권 연령·거래처별 회수 현황 보고를 요청하고, 상위 채권 거래처의 결제 조건 변경 여부를 확인해 주십시오.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 조직의 기말 매출 인식 관행(선적 기준·검수 기준)을 점검하고, 필요 시 감사인과 수익 인식 시점 협의를 선행해 주십시오.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다음 분기까지 "채권 증가율이 매출 증가율 안으로 수렴하는지"를 단일 관찰 지표로 두고 재점검 일정을 잡아 주십시오.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jc w:val="both"/>
      </w:pPr>
      <w:r>
        <w:t xml:space="preserve">아래 축은 모두 평가되었으나 임계값 미달로 발화하지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자산 적체 (E2)</w:t>
      </w:r>
      <w:r>
        <w:t xml:space="preserve">: 재고 증가가 매출 성장과 보조를 맞추고 있어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 (E3)</w:t>
      </w:r>
      <w:r>
        <w:t xml:space="preserve">: 차입 증가 움직임은 있으나 이자 상환 여력이 오히려 개선되는 방향이어서 복합 조건 미충족으로 미발화. 다만 E1 의 운전자본 잠김이 장기화되면 이 축이 후행 발화할 수 있어, 차입금 만기 구조는 함께 봐 두시길 권합니다.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 하락 (E4)</w:t>
      </w:r>
      <w:r>
        <w:t xml:space="preserve">: 유동비율이 안정 대역을 유지하고 있어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공시 행간 (E5)</w:t>
      </w:r>
      <w:r>
        <w:t xml:space="preserve">: 관찰 창 내 정정·해명 공시 패턴 없음.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 (E8)</w:t>
      </w:r>
      <w:r>
        <w:t xml:space="preserve">: 발생액 비율이 임계값 미달이며 지속 괴리 조건도 미충족으로 미발화. 단, 이 축은 E1 과 같은 메커니즘(이익-현금 괴리)을 총량 기준으로 보는 신호이므로, E1 판별 테스트 결과에 따라 다음 결산에서 재평가가 필요합니다.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재무제표와 한국은행 거시지표에서 결정론적으로 파생된 신호에 기반하며, </w:t>
      </w:r>
      <w:r>
        <w:rPr>
          <w:b/>
        </w:rPr>
        <w:t xml:space="preserve">내부 회계 데이터(거래처 원장·원가 상세)는 제공되지 않아 상세 축(거래처 집중·원가 왜곡) 진단은 수행되지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뉴스·시장(주가) 축과 비정형 문서 축은 이번 진단 범위에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E1 신호는 재무 수치상 괴리의 존재를 가리킬 뿐, 그 원인이 부정이나 회계 왜곡임을 의미하지 않습니다. 판별 테스트를 통과하기 전까지는 가설로 다루어야 하며, 정상적인 영업 확대(신규 거래처의 긴 결제 조건 등)로 설명될 가능성도 열려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연결(CFS) 기준 수치이므로 종속회사 효과가 포함되어 있습니다. 별도 재무제표 기준 재검증 시 결과가 달라질 수 있습니다.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대창단조(주)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