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CEO 서명용 리스크 브리핑 — (주)엑시온그룹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2026-07-14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핵심 리스크 한눈에 보기</w:t>
      </w:r>
    </w:p>
    <w:tbl>
      <w:tblPr>
        <w:tblStyle w:val="TableGrid"/>
        <w:tblW w:w="907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7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구분</w:t>
            </w:r>
          </w:p>
        </w:tc>
        <w:tc>
          <w:tcPr>
            <w:tcW w:w="33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리스크</w:t>
            </w:r>
          </w:p>
        </w:tc>
        <w:tc>
          <w:tcPr>
            <w:tcW w:w="11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확신도</w:t>
            </w:r>
          </w:p>
        </w:tc>
        <w:tc>
          <w:tcPr>
            <w:tcW w:w="397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최우선 조치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D04A02"/>
                <w:sz w:val="19"/>
                <w:szCs w:val="19"/>
              </w:rPr>
              <w:t xml:space="preserve">R1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  <w:szCs w:val="19"/>
              </w:rPr>
              <w:t xml:space="preserve">공시 정정 반복 — 공시 프로세스 신뢰성 저하 (E5)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1F7A33"/>
                <w:sz w:val="19"/>
                <w:szCs w:val="19"/>
              </w:rPr>
              <w:t xml:space="preserve">확인됨</w:t>
            </w:r>
          </w:p>
        </w:tc>
        <w:tc>
          <w:tcPr>
            <w:tcW w:w="3970" w:type="dxa"/>
            <w:vAlign w:val="center"/>
          </w:tcPr>
          <w:p>
            <w:pPr>
              <w:spacing w:before="60" w:after="60"/>
            </w:pPr>
            <w:r>
              <w:rPr>
                <w:sz w:val="19"/>
                <w:szCs w:val="19"/>
              </w:rPr>
              <w:t xml:space="preserve">공시 승인 전 체크리스트와 최종 승인권자(각자 대표 중 1인 또는 공시책임자)를 명문화하고, 정정 발생 시 사유 코드를 의무 기록하게 하십시오.</w:t>
            </w:r>
          </w:p>
        </w:tc>
      </w:tr>
    </w:tbl>
    <w:p>
      <w:pPr>
        <w:spacing w:before="80" w:after="240"/>
      </w:pPr>
      <w:r>
        <w:rPr>
          <w:color w:val="A6A6A6"/>
          <w:sz w:val="17"/>
          <w:szCs w:val="17"/>
        </w:rPr>
        <w:t xml:space="preserve">표의 확신도는 본문 각 리스크 절의 확신도 표기를 그대로 요약한 것입니다. 상세 근거 수치와 판별 테스트는 본문을 참조하십시오.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대상 기업</w:t>
      </w:r>
      <w:r>
        <w:t xml:space="preserve">: (주)엑시온그룹 (종목코드 069920, 사업자등록번호 101-81-68210)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대표이사</w:t>
      </w:r>
      <w:r>
        <w:t xml:space="preserve">: 이승철, 정재영 (각자 대표이사)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분석 기준</w:t>
      </w:r>
      <w:r>
        <w:t xml:space="preserve">: 2024 사업연도 연결재무제표(CFS) 공시 + 최근 90일 공시 이력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거시 환경</w:t>
      </w:r>
      <w:r>
        <w:t xml:space="preserve">: 한국은행 기준금리 2.5% (2026-07-12 기준, 조회 구간 내 변동 없음) — 출처: 한국은행 ECOS</w:t>
      </w:r>
    </w:p>
    <w:p>
      <w:pPr>
        <w:pStyle w:val="Heading1"/>
      </w:pPr>
      <w:r>
        <w:rPr>
          <w:b/>
          <w:color w:val="1B2A4A"/>
        </w:rPr>
        <w:t xml:space="preserve">리스크 1. 공시 정정 반복 — 공시 프로세스 신뢰성 저하 (E5)</w:t>
      </w:r>
    </w:p>
    <w:p>
      <w:pPr>
        <w:jc w:val="both"/>
      </w:pPr>
      <w:r>
        <w:rPr>
          <w:b/>
          <w:color w:val="1B2A4A"/>
        </w:rPr>
        <w:t xml:space="preserve">결론. </w:t>
      </w:r>
    </w:p>
    <w:p>
      <w:pPr>
        <w:jc w:val="both"/>
      </w:pPr>
      <w:r>
        <w:t xml:space="preserve">최근 90일 공시 창에서 정정 공시가 이례적으로 반복되고 있어, 시장에 전달되는 회사 정보의 신뢰성과 내부 공시 검수 체계에 대한 점검이 필요합니다.</w:t>
      </w:r>
    </w:p>
    <w:p>
      <w:pPr>
        <w:jc w:val="both"/>
      </w:pPr>
      <w:r>
        <w:rPr>
          <w:b/>
        </w:rPr>
        <w:t xml:space="preserve">근거 (수치 + 출처)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최근 90일간 총 공시 </w:t>
      </w:r>
      <w:r>
        <w:rPr>
          <w:b/>
        </w:rPr>
        <w:t xml:space="preserve">36건</w:t>
      </w:r>
      <w:r>
        <w:t xml:space="preserve"> 중 정정 공시 </w:t>
      </w:r>
      <w:r>
        <w:rPr>
          <w:b/>
        </w:rPr>
        <w:t xml:space="preserve">19건</w:t>
      </w:r>
      <w:r>
        <w:t xml:space="preserve"> — 출처: DART 공시 목록 (조회 창 90일)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판정 임계값은 정정 </w:t>
      </w:r>
      <w:r>
        <w:rPr>
          <w:b/>
        </w:rPr>
        <w:t xml:space="preserve">3건 이상</w:t>
      </w:r>
      <w:r>
        <w:t xml:space="preserve">으로, 실제 건수가 임계값을 크게 상회하여 발화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동일 창 내 해명(풍문) 공시와 감사 관련 플래그는 감지되지 않음</w:t>
      </w:r>
    </w:p>
    <w:p>
      <w:pPr>
        <w:jc w:val="both"/>
      </w:pPr>
      <w:r>
        <w:rPr>
          <w:b/>
        </w:rPr>
        <w:t xml:space="preserve">왜 문제인가 (인과 사슬)</w:t>
      </w:r>
    </w:p>
    <w:p>
      <w:pPr>
        <w:jc w:val="both"/>
      </w:pPr>
      <w:r>
        <w:t xml:space="preserve">정정 공시가 반복된다는 것은 최초 공시 시점에 확정되지 않았거나 검증되지 않은 정보가 시장에 나가고 있다는 뜻입니다. 이는 내부 공시 검수 체인(작성 → 검토 → 승인)의 어느 단계가 형식적으로 작동하고 있을 가능성을 시사합니다. 검수 체인이 약하면 단순 오기가 아니라 수치·계약조건 같은 실질 정보의 정정으로 번질 수 있고, 그 시점부터는 투자자 신뢰 훼손 → 공시 리스크 프리미엄 상승 → 자금조달 조건 악화로 이어지는 경로가 열립니다. 특히 각자 대표 체제에서는 공시 책임 소재가 분산되기 쉬워, 최종 승인 라인이 명확하지 않으면 같은 패턴이 반복될 수 있습니다.</w:t>
      </w:r>
    </w:p>
    <w:p>
      <w:pPr>
        <w:jc w:val="both"/>
      </w:pPr>
      <w:r>
        <w:rPr>
          <w:b/>
          <w:color w:val="1B2A4A"/>
        </w:rPr>
        <w:t xml:space="preserve">확신도. </w:t>
      </w:r>
      <w:r>
        <w:rPr>
          <w:b/>
          <w:color w:val="1F7A33"/>
        </w:rPr>
        <w:t xml:space="preserve">확인됨</w:t>
      </w:r>
      <w:r>
        <w:t xml:space="preserve"> (공시 건수는 DART 공시 목록에서 결정론적으로 집계된 사실이며, 다만 그 *원인*이 검수 체계 문제인지는 아래 판별 테스트로 확인이 필요합니다)</w:t>
      </w:r>
    </w:p>
    <w:p>
      <w:pPr>
        <w:jc w:val="both"/>
      </w:pPr>
      <w:r>
        <w:rPr>
          <w:b/>
          <w:color w:val="1B2A4A"/>
        </w:rPr>
        <w:t xml:space="preserve">판별 테스트. </w:t>
      </w:r>
    </w:p>
    <w:p>
      <w:pPr>
        <w:jc w:val="both"/>
      </w:pPr>
      <w:r>
        <w:t xml:space="preserve">1. 정정 19건의 사유를 분류하십시오 — 단순 오기·기재정정 위주라면 프로세스 품질 문제, </w:t>
      </w:r>
      <w:r>
        <w:rPr>
          <w:b/>
        </w:rPr>
        <w:t xml:space="preserve">수치 변경·계약조건 변경</w:t>
      </w:r>
      <w:r>
        <w:t xml:space="preserve">이 섞여 있다면 정보 생성 단계(재무·영업 데이터 집계)의 문제로 격상됩니다.</w:t>
      </w:r>
    </w:p>
    <w:p>
      <w:pPr>
        <w:jc w:val="both"/>
      </w:pPr>
      <w:r>
        <w:t xml:space="preserve">2. 정정이 특정 공시 유형(예: 주요사항보고서, 단일판매·공급계약)에 집중되는지 확인하십시오 — 집중된다면 해당 담당 라인의 검수 공백이 원인일 가능성이 높아집니다.</w:t>
      </w:r>
    </w:p>
    <w:p>
      <w:pPr>
        <w:jc w:val="both"/>
      </w:pPr>
      <w:r>
        <w:t xml:space="preserve">3. 정정 공시일과 원공시일의 간격을 확인하십시오 — 간격이 짧고 반복적이면 "일단 내고 고친다"는 관행이 굳어졌다는 신호입니다.</w:t>
      </w:r>
    </w:p>
    <w:p>
      <w:pPr>
        <w:jc w:val="both"/>
      </w:pPr>
      <w:r>
        <w:rPr>
          <w:b/>
          <w:color w:val="1B2A4A"/>
        </w:rPr>
        <w:t xml:space="preserve">권고 조치. 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공시 승인 전 체크리스트와 최종 승인권자(각자 대표 중 1인 또는 공시책임자)를 명문화하고, 정정 발생 시 사유 코드를 의무 기록하게 하십시오.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다음 분기부터 "정정 건수 / 총 공시 건수"를 월간 경영지표로 대표이사 보고 라인에 올려 추세를 직접 관리하십시오.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수치 변경성 정정이 확인되면 원천 데이터 집계 프로세스(재무팀·영업팀 → 공시팀 인계 구간)를 별도 감사 대상으로 지정하십시오.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미발화 신호</w:t>
      </w:r>
      <w:r>
        <w:t xml:space="preserve">: 수익-채권 괴리(E1), 재고 자산 적체(E2), 차입 확대·이자 부담(E3), 유동성 하락(E4), 발생액 품질(E8)은 이번 분석에서 </w:t>
      </w:r>
      <w:r>
        <w:rPr>
          <w:b/>
        </w:rPr>
        <w:t xml:space="preserve">임계값 미달로 미발화</w:t>
      </w:r>
      <w:r>
        <w:t xml:space="preserve">했습니다. 미발화는 "해당 축에 문제가 없음이 확인됨"이 아니라 "현재 공시 데이터 기준으로 임계값을 넘지 않았음"을 의미하며, 리스크로 다루지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분석 범위</w:t>
      </w:r>
      <w:r>
        <w:t xml:space="preserve">: 이번 진단은 DART 공시 재무제표(2024 CFS)와 최근 90일 공시 이력, 한국은행 거시지표만을 사용한 </w:t>
      </w:r>
      <w:r>
        <w:rPr>
          <w:b/>
        </w:rPr>
        <w:t xml:space="preserve">기본 모드</w:t>
      </w:r>
      <w:r>
        <w:t xml:space="preserve">입니다. 내부 CSV(거래처 집중·원가 구조), 뉴스·평판 축, 시장 시세 축, 비정형 문서 축은 제공되지 않아 평가하지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판단의 성격</w:t>
      </w:r>
      <w:r>
        <w:t xml:space="preserve">: 본 브리핑의 신호는 공개 데이터에서 결정론적으로 파생된 것으로, 회계 처리의 적정성 여부에 대한 판단이 아닙니다. 정정 공시 반복의 원인 규명은 위 판별 테스트를 통한 내부 확인이 선행되어야 합니다.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시점 한계</w:t>
      </w:r>
      <w:r>
        <w:t xml:space="preserve">: 90일 공시 창 밖의 이력과 분석 기준일 이후 공시는 반영되지 않았습니다.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CEO 서명용 리스크 브리핑 — (주)엑시온그룹</dc:title>
  <dc:creator>Trusted CEO Agent</dc:creator>
  <cp:lastModifiedBy>Trusted CEO Agent</cp:lastModifiedBy>
  <dcterms:created xsi:type="dcterms:W3CDTF">2026-07-14T00:00:00Z</dcterms:created>
  <dcterms:modified xsi:type="dcterms:W3CDTF">2026-07-14T00:00:00Z</dcterms:modified>
</cp:coreProperties>
</file>