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hd w:val="clear" w:color="auto" w:fill="D04A02"/>
        <w:spacing w:before="0" w:after="480"/>
      </w:pPr>
      <w:r>
        <w:t xml:space="preserve"> </w:t>
      </w:r>
    </w:p>
    <w:p>
      <w:pPr>
        <w:spacing w:before="1200" w:after="120"/>
      </w:pPr>
      <w:r>
        <w:rPr>
          <w:color w:val="595959"/>
          <w:sz w:val="22"/>
          <w:szCs w:val="22"/>
        </w:rPr>
        <w:t xml:space="preserve">CEO 경영 리스크 브리핑</w:t>
      </w:r>
    </w:p>
    <w:p>
      <w:pPr>
        <w:spacing w:after="360"/>
      </w:pPr>
      <w:r>
        <w:rPr>
          <w:b/>
          <w:color w:val="1B2A4A"/>
          <w:sz w:val="52"/>
          <w:szCs w:val="52"/>
        </w:rPr>
        <w:t xml:space="preserve">CEO 서명용 리스크 브리핑 — (주)마크로밀엠브레인</w:t>
      </w:r>
    </w:p>
    <w:p>
      <w:pPr>
        <w:spacing w:after="160"/>
      </w:pPr>
      <w:r>
        <w:rPr>
          <w:b/>
          <w:color w:val="D04A02"/>
          <w:sz w:val="20"/>
          <w:szCs w:val="20"/>
        </w:rPr>
        <w:t xml:space="preserve">대외비 · Confidential</w:t>
      </w:r>
    </w:p>
    <w:p>
      <w:pPr>
        <w:spacing w:after="600"/>
      </w:pPr>
      <w:r>
        <w:rPr>
          <w:color w:val="595959"/>
          <w:sz w:val="20"/>
          <w:szCs w:val="20"/>
        </w:rPr>
        <w:t xml:space="preserve">작성일 2026-07-14</w:t>
      </w:r>
    </w:p>
    <w:p>
      <w:pPr>
        <w:spacing w:before="2400" w:after="0"/>
      </w:pPr>
      <w:r>
        <w:rPr>
          <w:color w:val="A6A6A6"/>
          <w:sz w:val="16"/>
          <w:szCs w:val="16"/>
        </w:rPr>
        <w:t xml:space="preserve">본 보고서는 trusted-ceo-agent 진단 파이프라인(불변식 게이트 → 결정론 신호 파생 → 자동 채점)을 통과한 데이터에 기반해 작성되었으며, CEO 경영 판단 보조 자료로서 투자자문·투자권유가 아닙니다.</w:t>
      </w:r>
    </w:p>
    <w:p>
      <w:r>
        <w:br w:type="page"/>
      </w:r>
    </w:p>
    <w:p>
      <w:pPr>
        <w:pStyle w:val="Heading1"/>
      </w:pPr>
      <w:r>
        <w:rPr>
          <w:b/>
          <w:color w:val="1B2A4A"/>
        </w:rPr>
        <w:t xml:space="preserve">Executive Snapshot</w:t>
      </w:r>
    </w:p>
    <w:p>
      <w:pPr>
        <w:jc w:val="center"/>
        <w:spacing w:before="120" w:after="240"/>
      </w:pPr>
      <w:r>
        <w:drawing>
          <wp:inline xmlns:wp="http://schemas.openxmlformats.org/drawingml/2006/wordprocessingDrawing" distT="0" distB="0" distL="0" distR="0">
            <wp:extent cx="5943600" cy="3714750"/>
            <wp:effectExtent l="0" t="0" r="0" b="0"/>
            <wp:docPr id="1" name="Executive Snapsho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xecutive-summary.png"/>
                    <pic:cNvPicPr/>
                  </pic:nvPicPr>
                  <pic:blipFill>
                    <a:blip xmlns:r="http://schemas.openxmlformats.org/officeDocument/2006/relationships" r:embed="rIdSnapsho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수신</w:t>
      </w:r>
      <w:r>
        <w:t xml:space="preserve">: 최인수 대표이사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대상 기업</w:t>
      </w:r>
      <w:r>
        <w:t xml:space="preserve">: (주)마크로밀엠브레인 (종목코드 169330, 사업자등록번호 105-81-98720)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분석 기준</w:t>
      </w:r>
      <w:r>
        <w:t xml:space="preserve">: 2025 회계연도 연결재무제표(CFS), 공시 관찰 창 90일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거시 환경</w:t>
      </w:r>
      <w:r>
        <w:t xml:space="preserve">: 한국은행 기준금리 2.5% (2026-07-12 기준, 관찰 기간 내 변동 없음)</w:t>
      </w:r>
    </w:p>
    <w:p>
      <w:pPr>
        <w:pStyle w:val="Heading1"/>
      </w:pPr>
      <w:r>
        <w:rPr>
          <w:b/>
          <w:color w:val="1B2A4A"/>
        </w:rPr>
        <w:t xml:space="preserve">종합 판단</w:t>
      </w:r>
    </w:p>
    <w:p>
      <w:pPr>
        <w:jc w:val="both"/>
      </w:pPr>
      <w:r>
        <w:t xml:space="preserve">이번 진단에서 외부 공시·거시 데이터 기반 신호 6종(E1 수익-채권 괴리, E2 재고 적체, E3 차입·이자 부담, E4 유동성 하락, E5 공시 행간, E8 발생액 품질)은 </w:t>
      </w:r>
      <w:r>
        <w:rPr>
          <w:b/>
        </w:rPr>
        <w:t xml:space="preserve">모두 임계값 미달로 미발화</w:t>
      </w:r>
      <w:r>
        <w:t xml:space="preserve">했습니다. 즉, 사전에 정의된 결정론적 탐지 기준으로는 서명이 필요한 수준의 경영리스크가 포착되지 않았습니다.</w:t>
      </w:r>
    </w:p>
    <w:p>
      <w:pPr>
        <w:jc w:val="both"/>
      </w:pPr>
      <w:r>
        <w:t xml:space="preserve">미발화가 "리스크 없음"의 보증은 아니므로, 아래에 미발화 신호의 정성적 관찰과 확인 범위·한계를 함께 기재합니다.</w:t>
      </w:r>
    </w:p>
    <w:p>
      <w:pPr>
        <w:pStyle w:val="Heading1"/>
      </w:pPr>
      <w:r>
        <w:rPr>
          <w:b/>
          <w:color w:val="1B2A4A"/>
        </w:rPr>
        <w:t xml:space="preserve">미발화 신호에 대한 정성 관찰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수익·채권 축(E1)</w:t>
      </w:r>
      <w:r>
        <w:t xml:space="preserve"> — 매출과 매출채권의 증가 속도 격차가 임계 대역에 크게 못 미쳐 미발화했습니다. 다만 영업활동 현금흐름과 영업이익의 관계는 차기 분기 보고서에서 한 차례 더 확인해 볼 가치가 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재고 축(E2)</w:t>
      </w:r>
      <w:r>
        <w:t xml:space="preserve"> — 재고자산 데이터가 유의미한 규모로 관측되지 않아(리서치 서비스업 특성과 정합) 발화 조건 자체가 성립하지 않았습니다.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차입·이자 축(E3)</w:t>
      </w:r>
      <w:r>
        <w:t xml:space="preserve"> — 차입 확대 조건이 충족되지 않아 미발화했습니다. 다만 이자보상 관련 산식값에 방향성 변화가 관찰되므로, 정기 점검 시 차입금 만기 구조와 약정 조건을 함께 살펴보시기를 권합니다.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유동성 축(E4)</w:t>
      </w:r>
      <w:r>
        <w:t xml:space="preserve"> — 유동비율이 완만한 하락 추세에 있으나 임계 하한을 여전히 큰 폭으로 상회해 미발화했습니다. 추세 자체는 분기 단위로 관찰을 유지할 대상입니다.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공시 행간 축(E5)</w:t>
      </w:r>
      <w:r>
        <w:t xml:space="preserve"> — 관찰 창 내 정정·해명 공시 패턴이 임계값에 미달해 미발화했습니다.</w:t>
      </w:r>
    </w:p>
    <w:p>
      <w:pPr>
        <w:pStyle w:val="ListParagraph"/>
        <w:numPr>
          <w:ilvl w:val="0"/>
          <w:numId w:val="1"/>
        </w:numPr>
        <w:jc w:val="both"/>
      </w:pPr>
      <w:r>
        <w:rPr>
          <w:b/>
        </w:rPr>
        <w:t xml:space="preserve">발생액 품질 축(E8)</w:t>
      </w:r>
      <w:r>
        <w:t xml:space="preserve"> — 발생액 비율이 임계 상한 안쪽이며, 이익-현금 괴리의 지속성 조건도 충족되지 않아 미발화했습니다.</w:t>
      </w:r>
    </w:p>
    <w:p>
      <w:pPr>
        <w:pStyle w:val="Heading1"/>
      </w:pPr>
      <w:r>
        <w:rPr>
          <w:b/>
          <w:color w:val="1B2A4A"/>
        </w:rPr>
        <w:t xml:space="preserve">권고 조치 (리스크 대응이 아닌 상시 위생 수준)</w:t>
      </w:r>
    </w:p>
    <w:p>
      <w:pPr>
        <w:jc w:val="both"/>
      </w:pPr>
      <w:r>
        <w:t xml:space="preserve">1. </w:t>
      </w:r>
      <w:r>
        <w:rPr>
          <w:b/>
        </w:rPr>
        <w:t xml:space="preserve">분기 모니터링 유지</w:t>
      </w:r>
      <w:r>
        <w:t xml:space="preserve"> — 유동비율 추세(E4)와 영업현금흐름 대비 이익의 관계(E1·E8 관련)는 미발화 상태이나 방향성이 있는 항목이므로, 차기 분기보고서 공시 시점에 동일 진단을 재실행하십시오.</w:t>
      </w:r>
    </w:p>
    <w:p>
      <w:pPr>
        <w:jc w:val="both"/>
      </w:pPr>
      <w:r>
        <w:t xml:space="preserve">2. </w:t>
      </w:r>
      <w:r>
        <w:rPr>
          <w:b/>
        </w:rPr>
        <w:t xml:space="preserve">차입 구조 정기 점검</w:t>
      </w:r>
      <w:r>
        <w:t xml:space="preserve"> — 이자 관련 산식값의 변동이 관찰된 만큼, 주석의 차입금 만기 구조와 변동/고정 금리 구성을 반기 1회 확인하십시오.</w:t>
      </w:r>
    </w:p>
    <w:p>
      <w:pPr>
        <w:jc w:val="both"/>
      </w:pPr>
      <w:r>
        <w:t xml:space="preserve">3. </w:t>
      </w:r>
      <w:r>
        <w:rPr>
          <w:b/>
        </w:rPr>
        <w:t xml:space="preserve">내부 데이터 축 개방 검토</w:t>
      </w:r>
      <w:r>
        <w:t xml:space="preserve"> — 본 진단은 공시·거시 데이터만으로 수행되었습니다. 거래처 집중도·원가 구조 등 상세 축은 내부 CSV 제공 시 추가 진단이 가능합니다.</w:t>
      </w:r>
    </w:p>
    <w:p>
      <w:pPr>
        <w:pStyle w:val="Heading1"/>
      </w:pPr>
      <w:r>
        <w:rPr>
          <w:b/>
          <w:color w:val="1B2A4A"/>
        </w:rPr>
        <w:t xml:space="preserve">확인 범위와 한계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브리핑은 DART 공시(2025 회계연도 CFS)와 한국은행 거시지표에서 </w:t>
      </w:r>
      <w:r>
        <w:rPr>
          <w:b/>
        </w:rPr>
        <w:t xml:space="preserve">결정론적으로 파생된 신호</w:t>
      </w:r>
      <w:r>
        <w:t xml:space="preserve">만을 근거로 하며, 임계값 기반 탐지의 특성상 임계 대역 바로 안쪽의 완만한 악화는 포착되지 않을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내부 회계 데이터(`--data-dir`), 뉴스 축, 시장 축(E6·E7), 비정형 문서 축(D1)은 이번 진단에 포함되지 않았습니다. 해당 축이 열리면 결론이 달라질 수 있습니다.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미발화는 해당 축의 위험이 존재하지 않는다는 판정이 아니라, </w:t>
      </w:r>
      <w:r>
        <w:rPr>
          <w:b/>
        </w:rPr>
        <w:t xml:space="preserve">사전 정의된 임계 조건이 충족되지 않았다</w:t>
      </w:r>
      <w:r>
        <w:t xml:space="preserve">는 사실 판정입니다.</w:t>
      </w:r>
    </w:p>
    <w:p>
      <w:pPr>
        <w:pStyle w:val="ListParagraph"/>
        <w:numPr>
          <w:ilvl w:val="0"/>
          <w:numId w:val="1"/>
        </w:numPr>
        <w:jc w:val="both"/>
      </w:pPr>
      <w:r>
        <w:t xml:space="preserve">본 문서의 관찰은 확인된 사실(공시 수치)과 그로부터의 추론을 구분해 기술했으며, 추가 검증(분기보고서 대사, 주석 확인) 전까지는 가설 수준의 서술로 간주해 주십시오.</w:t>
      </w:r>
    </w:p>
    <w:sectPr>
      <w:headerReference w:type="default" r:id="rIdHeader"/>
      <w:footerReference w:type="default" r:id="rIdFooter"/>
      <w:pgSz w:w="11906" w:h="16838"/>
      <w:pgMar w:top="1418" w:right="1418" w:bottom="1418" w:left="1418" w:header="709" w:footer="709" w:gutter="0"/>
      <w:titlePg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Management risk briefing | Not investment advice</w:t>
    </w:r>
    <w:r>
      <w:rPr>
        <w:color w:val="A6A6A6"/>
        <w:sz w:val="16"/>
      </w:rPr>
      <w:tab/>
    </w:r>
    <w:r>
      <w:fldChar w:fldCharType="begin"/>
    </w:r>
    <w:r>
      <w:rPr>
        <w:color w:val="A6A6A6"/>
        <w:sz w:val="16"/>
      </w:rPr>
      <w:instrText xml:space="preserve"> PAGE </w:instrText>
    </w:r>
    <w:r>
      <w:fldChar w:fldCharType="end"/>
    </w:r>
  </w:p>
</w:ftr>
</file>

<file path=word/header1.xml><?xml version="1.0" encoding="utf-8"?>
<w:hdr xmlns:w="http://schemas.openxmlformats.org/wordprocessingml/2006/main">
  <w:p>
    <w:pPr>
      <w:pBdr>
        <w:bottom w:val="single" w:sz="4" w:space="4" w:color="D9D9D9"/>
      </w:pBdr>
      <w:tabs>
        <w:tab w:val="right" w:pos="9070"/>
      </w:tabs>
      <w:spacing w:after="0"/>
    </w:pPr>
    <w:r>
      <w:rPr>
        <w:color w:val="A6A6A6"/>
        <w:sz w:val="16"/>
      </w:rPr>
      <w:t xml:space="preserve">CEO Risk Briefing</w:t>
    </w:r>
    <w:r>
      <w:rPr>
        <w:color w:val="A6A6A6"/>
        <w:sz w:val="16"/>
      </w:rPr>
      <w:tab/>
    </w:r>
    <w:r>
      <w:rPr>
        <w:b/>
        <w:color w:val="D04A02"/>
        <w:sz w:val="16"/>
      </w:rPr>
      <w:t>Confidential</w:t>
    </w:r>
  </w:p>
</w:hdr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425" w:hanging="212"/>
      </w:pPr>
      <w:rPr>
        <w:color w:val="D04A02"/>
      </w:rPr>
    </w:lvl>
    <w:lvl w:ilvl="1">
      <w:numFmt w:val="bullet"/>
      <w:lvlText w:val="–"/>
      <w:pPr>
        <w:ind w:left="850" w:hanging="212"/>
      </w:pPr>
      <w:rPr>
        <w:color w:val="595959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Malgun Gothic" w:eastAsia="Malgun Gothic" w:hAnsi="Malgun Gothic" w:cs="Malgun Gothic"/>
        <w:sz w:val="21"/>
        <w:szCs w:val="21"/>
        <w:lang w:val="ko-KR" w:eastAsia="ko-KR"/>
      </w:rPr>
    </w:rPrDefault>
    <w:pPrDefault>
      <w:pPr>
        <w:spacing w:after="14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pPr>
      <w:keepNext/>
      <w:spacing w:before="400" w:after="160"/>
      <w:pBdr>
        <w:bottom w:val="single" w:sz="8" w:space="4" w:color="D04A02"/>
      </w:pBdr>
      <w:outlineLvl w:val="0"/>
    </w:pPr>
    <w:rPr>
      <w:b/>
      <w:color w:val="1B2A4A"/>
      <w:sz w:val="27"/>
      <w:szCs w:val="27"/>
    </w:rPr>
  </w:style>
  <w:style w:type="paragraph" w:styleId="Heading2">
    <w:name w:val="heading 2"/>
    <w:basedOn w:val="Normal"/>
    <w:pPr>
      <w:keepNext/>
      <w:spacing w:before="280" w:after="120"/>
      <w:outlineLvl w:val="1"/>
    </w:pPr>
    <w:rPr>
      <w:b/>
      <w:color w:val="1B2A4A"/>
      <w:sz w:val="23"/>
      <w:szCs w:val="23"/>
    </w:rPr>
  </w:style>
  <w:style w:type="paragraph" w:styleId="ListParagraph">
    <w:name w:val="List Paragraph"/>
    <w:basedOn w:val="Normal"/>
    <w:pPr>
      <w:spacing w:after="80"/>
      <w:ind w:left="425"/>
    </w:pPr>
  </w:style>
  <w:style w:type="character" w:styleId="Hyperlink">
    <w:name w:val="Hyperlink"/>
    <w:rPr>
      <w:color w:val="1155CC"/>
      <w:u w:val="single"/>
    </w:rPr>
  </w:style>
  <w:style w:type="table" w:styleId="TableGrid">
    <w:name w:val="Table Grid"/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Header" Type="http://schemas.openxmlformats.org/officeDocument/2006/relationships/header" Target="header1.xml"/>
<Relationship Id="rIdFooter" Type="http://schemas.openxmlformats.org/officeDocument/2006/relationships/footer" Target="footer1.xml"/>
<Relationship Id="rIdSnapshot" Type="http://schemas.openxmlformats.org/officeDocument/2006/relationships/image" Target="media/executive-summary.png"/>

</Relationships>
</file>

<file path=docProps/app.xml><?xml version="1.0" encoding="utf-8"?>
<Properties xmlns="http://schemas.openxmlformats.org/officeDocument/2006/extended-properties">
  <Application>trusted-ceo-agent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CEO 서명용 리스크 브리핑 — (주)마크로밀엠브레인</dc:title>
  <dc:creator>Trusted CEO Agent</dc:creator>
  <cp:lastModifiedBy>Trusted CEO Agent</cp:lastModifiedBy>
  <dcterms:created xsi:type="dcterms:W3CDTF">2026-07-14T00:00:00Z</dcterms:created>
  <dcterms:modified xsi:type="dcterms:W3CDTF">2026-07-14T00:00:00Z</dcterms:modified>
</cp:coreProperties>
</file>