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(주)SG세계물산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이의범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(주)SG세계물산 (종목코드 004060, 사업자등록번호 119-81-01073)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 공시 + 최근 90일 공시 이력 + 거시지표(한국은행 기준금리)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 기준일</w:t>
      </w:r>
      <w:r>
        <w:t xml:space="preserve">: 2026-07-15</w:t>
      </w:r>
    </w:p>
    <w:p>
      <w:pPr>
        <w:pStyle w:val="Heading1"/>
      </w:pPr>
      <w:r>
        <w:rPr>
          <w:b/>
          <w:color w:val="1B2A4A"/>
        </w:rPr>
        <w:t xml:space="preserve">종합 판단</w:t>
      </w:r>
    </w:p>
    <w:p>
      <w:pPr>
        <w:jc w:val="both"/>
      </w:pPr>
      <w:r>
        <w:t xml:space="preserve">이번 진단에서 </w:t>
      </w:r>
      <w:r>
        <w:rPr>
          <w:b/>
        </w:rPr>
        <w:t xml:space="preserve">발화(PRESENT)된 리스크 신호는 0건</w:t>
      </w:r>
      <w:r>
        <w:t xml:space="preserve">입니다. 외부 공시 데이터에서 파생한 6개</w:t>
      </w:r>
    </w:p>
    <w:p>
      <w:pPr>
        <w:jc w:val="both"/>
      </w:pPr>
      <w:r>
        <w:t xml:space="preserve">진단 축(수익-채권 괴리, 재고 적체, 차입·이자 부담, 유동성, 공시 행간, 발생액 품질) 중</w:t>
      </w:r>
    </w:p>
    <w:p>
      <w:pPr>
        <w:jc w:val="both"/>
      </w:pPr>
      <w:r>
        <w:t xml:space="preserve">평가 가능한 5개 축이 모두 임계값 미달로 미발화했습니다. 따라서 본 브리핑에는 서명이 필요한</w:t>
      </w:r>
    </w:p>
    <w:p>
      <w:pPr>
        <w:jc w:val="both"/>
      </w:pPr>
      <w:r>
        <w:t xml:space="preserve">개별 리스크 항목이 없으며, 아래에 미발화 근거의 성격과 진단이 커버하지 못한 사각지대를</w:t>
      </w:r>
    </w:p>
    <w:p>
      <w:pPr>
        <w:jc w:val="both"/>
      </w:pPr>
      <w:r>
        <w:t xml:space="preserve">보고드립니다.</w:t>
      </w:r>
    </w:p>
    <w:p>
      <w:pPr>
        <w:pStyle w:val="Heading1"/>
      </w:pPr>
      <w:r>
        <w:rPr>
          <w:b/>
          <w:color w:val="1B2A4A"/>
        </w:rPr>
        <w:t xml:space="preserve">미발화 신호 요약 (정성)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E1 수익-채권 괴리</w:t>
      </w:r>
      <w:r>
        <w:t xml:space="preserve">: 매출과 매출채권의 증감 격차가 임계값 미달로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E2 재고 자산 적체</w:t>
      </w:r>
      <w:r>
        <w:t xml:space="preserve">: 재고가 매출 감소에 동행해 줄고 있어 임계값 미달로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E4 유동성</w:t>
      </w:r>
      <w:r>
        <w:t xml:space="preserve">: 유동비율이 상승 추세로, 하락 요건에 해당하지 않아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E5 공시 행간</w:t>
      </w:r>
      <w:r>
        <w:t xml:space="preserve">: 최근 90일 공시에서 정정·해명의 반복 패턴이 임계값 미달로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E8 발생액 품질</w:t>
      </w:r>
      <w:r>
        <w:t xml:space="preserve">: 이익 대비 현금흐름의 괴리가 임계값 미달로 미발화했습니다. 오히려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영업현금흐름이 이익을 상회하는 방향이었습니다.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&gt; 위 신호들은 미발화이므로 리스크로 승격하지 않으며, 개별 수치 인용도 생략합니다.</w:t>
      </w:r>
    </w:p>
    <w:p>
      <w:pPr>
        <w:pStyle w:val="Heading1"/>
      </w:pPr>
      <w:r>
        <w:rPr>
          <w:b/>
          <w:color w:val="1B2A4A"/>
        </w:rPr>
        <w:t xml:space="preserve">데이터 사각지대 1건 — 차입 축(E3) 평가 불가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차입·이자 부담 축은 리스크 여부를 판정하지 못했습니다. 공시 표준계정에서</w:t>
      </w:r>
    </w:p>
    <w:p>
      <w:pPr>
        <w:jc w:val="both"/>
      </w:pPr>
      <w:r>
        <w:t xml:space="preserve">차입금 계정을 식별하지 못해 </w:t>
      </w:r>
      <w:r>
        <w:rPr>
          <w:b/>
        </w:rPr>
        <w:t xml:space="preserve">평가 자체가 이루어지지 않았기 때문</w:t>
      </w:r>
      <w:r>
        <w:t xml:space="preserve">입니다(리스크 발화가 아님).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왜 문제인가. </w:t>
      </w:r>
      <w:r>
        <w:t xml:space="preserve">평가 불가는 "안전하다"와 다릅니다. 차입금이 실제로 없어서일 수도 있으나,</w:t>
      </w:r>
    </w:p>
    <w:p>
      <w:pPr>
        <w:jc w:val="both"/>
      </w:pPr>
      <w:r>
        <w:t xml:space="preserve">계정 분류·공시 양식 차이로 탐지기가 계정을 놓쳤을 가능성도 있어, 이 축에 한해 기계 진단의</w:t>
      </w:r>
    </w:p>
    <w:p>
      <w:pPr>
        <w:jc w:val="both"/>
      </w:pPr>
      <w:r>
        <w:t xml:space="preserve">보증 범위 밖에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(평가 불가의 원인이 무차입 구조인지 계정 매핑 한계인지 미확인)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사업보고서 주석의 차입금 명세(단기·장기차입금, 리스부채 포함)를 직접</w:t>
      </w:r>
    </w:p>
    <w:p>
      <w:pPr>
        <w:jc w:val="both"/>
      </w:pPr>
      <w:r>
        <w:t xml:space="preserve">확인해 주십시오. 명세가 "해당 없음"이면 무차입 구조로 종결, 잔액이 존재하면 재무팀에</w:t>
      </w:r>
    </w:p>
    <w:p>
      <w:pPr>
        <w:jc w:val="both"/>
      </w:pPr>
      <w:r>
        <w:t xml:space="preserve">이자보상 배율과 만기 스케줄 산출을 지시해 이 축을 수동으로 닫는 것을 권고드립니다.</w:t>
      </w:r>
    </w:p>
    <w:p>
      <w:pPr>
        <w:pStyle w:val="Heading1"/>
      </w:pPr>
      <w:r>
        <w:rPr>
          <w:b/>
          <w:color w:val="1B2A4A"/>
        </w:rPr>
        <w:t xml:space="preserve">참고 — 거시 환경</w:t>
      </w:r>
    </w:p>
    <w:p>
      <w:pPr>
        <w:jc w:val="both"/>
      </w:pPr>
      <w:r>
        <w:t xml:space="preserve">한국은행 기준금리는 2.5%로 관측 구간 내 변동이 없었습니다(2026-07-12 기준). 금리 환경이</w:t>
      </w:r>
    </w:p>
    <w:p>
      <w:pPr>
        <w:jc w:val="both"/>
      </w:pPr>
      <w:r>
        <w:t xml:space="preserve">차입 부담을 추가로 악화시키는 국면은 아니나, 위 E3 사각지대를 닫기 전까지는 금리 민감도</w:t>
      </w:r>
    </w:p>
    <w:p>
      <w:pPr>
        <w:jc w:val="both"/>
      </w:pPr>
      <w:r>
        <w:t xml:space="preserve">판단을 보류합니다.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진단은 DART 공시(2025 CFS)와 ECOS 거시지표에서 </w:t>
      </w:r>
      <w:r>
        <w:rPr>
          <w:b/>
        </w:rPr>
        <w:t xml:space="preserve">결정론적으로 파생된 신호</w:t>
      </w:r>
      <w:r>
        <w:t xml:space="preserve">에</w:t>
      </w:r>
    </w:p>
    <w:p>
      <w:pPr>
        <w:jc w:val="both"/>
      </w:pPr>
      <w:r>
        <w:t xml:space="preserve">기반하며, 임계값 미달·미발화가 곧 리스크 부재의 보증은 아닙니다. 임계값 아래에서</w:t>
      </w:r>
    </w:p>
    <w:p>
      <w:pPr>
        <w:jc w:val="both"/>
      </w:pPr>
      <w:r>
        <w:t xml:space="preserve">진행 중인 완만한 악화는 이 방식으로 포착되지 않을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 축(E3)은 계정 미식별로 평가되지 않았습니다 — 위 판별 테스트로 수동 확인이</w:t>
      </w:r>
    </w:p>
    <w:p>
      <w:pPr>
        <w:jc w:val="both"/>
      </w:pPr>
      <w:r>
        <w:t xml:space="preserve">필요합니다.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CSV(거래처 집중·원가 왜곡·내부-공시 대사), 뉴스 축, 시장 축(시세·시총), 비정형</w:t>
      </w:r>
    </w:p>
    <w:p>
      <w:pPr>
        <w:jc w:val="both"/>
      </w:pPr>
      <w:r>
        <w:t xml:space="preserve">문서 축은 이번 진단에 입력되지 않아 </w:t>
      </w:r>
      <w:r>
        <w:rPr>
          <w:b/>
        </w:rPr>
        <w:t xml:space="preserve">검토 범위 밖</w:t>
      </w:r>
      <w:r>
        <w:t xml:space="preserve">입니다. 내부 데이터 제공 시 상세</w:t>
      </w:r>
    </w:p>
    <w:p>
      <w:pPr>
        <w:jc w:val="both"/>
      </w:pPr>
      <w:r>
        <w:t xml:space="preserve">축 진단으로 확장할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브리핑의 판단은 확인된 공시 수치 범위 내의 해석이며, 회계 처리의 적정성에 대한</w:t>
      </w:r>
    </w:p>
    <w:p>
      <w:pPr>
        <w:jc w:val="both"/>
      </w:pPr>
      <w:r>
        <w:t xml:space="preserve">감사 의견이나 단정적 결론이 아닙니다.</w:t>
      </w:r>
    </w:p>
    <w:p>
      <w:pPr>
        <w:jc w:val="both"/>
      </w:pPr>
      <w:r>
        <w:rPr>
          <w:b/>
        </w:rPr>
        <w:t xml:space="preserve">서명란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7"/>
        <w:gridCol w:w="2267"/>
        <w:gridCol w:w="2267"/>
        <w:gridCol w:w="2269"/>
      </w:tblGrid>
      <w:tr>
        <w:tc>
          <w:tcPr>
            <w:tcW w:w="2267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2267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성명</w:t>
            </w:r>
          </w:p>
        </w:tc>
        <w:tc>
          <w:tcPr>
            <w:tcW w:w="2267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서명</w:t>
            </w:r>
          </w:p>
        </w:tc>
        <w:tc>
          <w:tcPr>
            <w:tcW w:w="2269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일자</w:t>
            </w:r>
          </w:p>
        </w:tc>
      </w:tr>
      <w:tr>
        <w:tc>
          <w:tcPr>
            <w:tcW w:w="2267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대표이사</w:t>
            </w:r>
          </w:p>
        </w:tc>
        <w:tc>
          <w:tcPr>
            <w:tcW w:w="2267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이의범</w:t>
            </w:r>
          </w:p>
        </w:tc>
        <w:tc>
          <w:tcPr>
            <w:tcW w:w="2267" w:type="dxa"/>
          </w:tcPr>
          <w:p>
            <w:pPr>
              <w:spacing w:before="40" w:after="40"/>
            </w:pPr>
          </w:p>
        </w:tc>
        <w:tc>
          <w:tcPr>
            <w:tcW w:w="2269" w:type="dxa"/>
          </w:tcPr>
          <w:p>
            <w:pPr>
              <w:spacing w:before="40" w:after="40"/>
            </w:pPr>
          </w:p>
        </w:tc>
      </w:tr>
    </w:tbl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(주)SG세계물산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