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에스케이바이오사이언스(주)</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ListParagraph"/>
        <w:numPr>
          <w:ilvl w:val="0"/>
          <w:numId w:val="1"/>
        </w:numPr>
        <w:jc w:val="both"/>
      </w:pPr>
      <w:r>
        <w:rPr>
          <w:b/>
        </w:rPr>
        <w:t xml:space="preserve">수신</w:t>
      </w:r>
      <w:r>
        <w:t xml:space="preserve">: 안재용 대표이사</w:t>
      </w:r>
    </w:p>
    <w:p>
      <w:pPr>
        <w:pStyle w:val="ListParagraph"/>
        <w:numPr>
          <w:ilvl w:val="0"/>
          <w:numId w:val="1"/>
        </w:numPr>
        <w:jc w:val="both"/>
      </w:pPr>
      <w:r>
        <w:rPr>
          <w:b/>
        </w:rPr>
        <w:t xml:space="preserve">대상 기업</w:t>
      </w:r>
      <w:r>
        <w:t xml:space="preserve">: 에스케이바이오사이언스(주) (종목코드 302440, 사업자등록번호 818-86-00991)</w:t>
      </w:r>
    </w:p>
    <w:p>
      <w:pPr>
        <w:pStyle w:val="ListParagraph"/>
        <w:numPr>
          <w:ilvl w:val="0"/>
          <w:numId w:val="1"/>
        </w:numPr>
        <w:jc w:val="both"/>
      </w:pPr>
      <w:r>
        <w:rPr>
          <w:b/>
        </w:rPr>
        <w:t xml:space="preserve">진단 기준</w:t>
      </w:r>
      <w:r>
        <w:t xml:space="preserve">: 2025 사업연도 연결재무제표(CFS), 최근 90일 공시 관찰 창</w:t>
      </w:r>
    </w:p>
    <w:p>
      <w:pPr>
        <w:pStyle w:val="ListParagraph"/>
        <w:numPr>
          <w:ilvl w:val="0"/>
          <w:numId w:val="1"/>
        </w:numPr>
        <w:jc w:val="both"/>
      </w:pPr>
      <w:r>
        <w:rPr>
          <w:b/>
        </w:rPr>
        <w:t xml:space="preserve">거시 여건</w:t>
      </w:r>
      <w:r>
        <w:t xml:space="preserve">: 한국은행 기준금리 2.5% (2026-07-12 기준, 관찰 기간 내 변동 없음)</w:t>
      </w:r>
    </w:p>
    <w:p>
      <w:pPr>
        <w:pStyle w:val="Heading1"/>
      </w:pPr>
      <w:r>
        <w:rPr>
          <w:b/>
          <w:color w:val="1B2A4A"/>
        </w:rPr>
        <w:t xml:space="preserve">종합 판단</w:t>
      </w:r>
    </w:p>
    <w:p>
      <w:pPr>
        <w:jc w:val="both"/>
      </w:pPr>
      <w:r>
        <w:t xml:space="preserve">이번 진단에서 </w:t>
      </w:r>
      <w:r>
        <w:rPr>
          <w:b/>
        </w:rPr>
        <w:t xml:space="preserve">리스크로 승격된 신호는 0건입니다.</w:t>
      </w:r>
      <w:r>
        <w:t xml:space="preserve"> 공시·거시 데이터에서 결정론적으로 파생한 외부 신호 6축(수익-채권 괴리, 재고 적체, 차입·이자 부담, 유동성 하락, 공시 행간, 발생액 품질)을 모두 평가했으며, 전 축이 임계값 미달로 미발화했습니다. 현 시점에서 서명이 필요한 시정 조치나 긴급 대응 안건은 없습니다.</w:t>
      </w:r>
    </w:p>
    <w:p>
      <w:pPr>
        <w:pStyle w:val="Heading1"/>
      </w:pPr>
      <w:r>
        <w:rPr>
          <w:b/>
          <w:color w:val="1B2A4A"/>
        </w:rPr>
        <w:t xml:space="preserve">축별 평가 결과 (전 축 미발화 — 정성 요약)</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00"/>
        <w:gridCol w:w="1200"/>
        <w:gridCol w:w="5170"/>
      </w:tblGrid>
      <w:tr>
        <w:tc>
          <w:tcPr>
            <w:tcW w:w="2700" w:type="dxa"/>
            <w:shd w:val="clear" w:color="auto" w:fill="F2E8E0"/>
          </w:tcPr>
          <w:p>
            <w:pPr>
              <w:spacing w:before="40" w:after="40"/>
            </w:pPr>
            <w:r>
              <w:rPr>
                <w:b/>
                <w:color w:val="1B2A4A"/>
                <w:sz w:val="19"/>
                <w:szCs w:val="19"/>
              </w:rPr>
              <w:t xml:space="preserve">축</w:t>
            </w:r>
          </w:p>
        </w:tc>
        <w:tc>
          <w:tcPr>
            <w:tcW w:w="1200" w:type="dxa"/>
            <w:shd w:val="clear" w:color="auto" w:fill="F2E8E0"/>
          </w:tcPr>
          <w:p>
            <w:pPr>
              <w:spacing w:before="40" w:after="40"/>
            </w:pPr>
            <w:r>
              <w:rPr>
                <w:b/>
                <w:color w:val="1B2A4A"/>
                <w:sz w:val="19"/>
                <w:szCs w:val="19"/>
              </w:rPr>
              <w:t xml:space="preserve">신호</w:t>
            </w:r>
          </w:p>
        </w:tc>
        <w:tc>
          <w:tcPr>
            <w:tcW w:w="5170" w:type="dxa"/>
            <w:shd w:val="clear" w:color="auto" w:fill="F2E8E0"/>
          </w:tcPr>
          <w:p>
            <w:pPr>
              <w:spacing w:before="40" w:after="40"/>
            </w:pPr>
            <w:r>
              <w:rPr>
                <w:b/>
                <w:color w:val="1B2A4A"/>
                <w:sz w:val="19"/>
                <w:szCs w:val="19"/>
              </w:rPr>
              <w:t xml:space="preserve">판정</w:t>
            </w:r>
          </w:p>
        </w:tc>
      </w:tr>
      <w:tr>
        <w:tc>
          <w:tcPr>
            <w:tcW w:w="2700" w:type="dxa"/>
          </w:tcPr>
          <w:p>
            <w:pPr>
              <w:spacing w:before="40" w:after="40"/>
            </w:pPr>
            <w:r>
              <w:rPr>
                <w:sz w:val="19"/>
                <w:szCs w:val="19"/>
              </w:rPr>
              <w:t xml:space="preserve">E1</w:t>
            </w:r>
          </w:p>
        </w:tc>
        <w:tc>
          <w:tcPr>
            <w:tcW w:w="1200" w:type="dxa"/>
          </w:tcPr>
          <w:p>
            <w:pPr>
              <w:spacing w:before="40" w:after="40"/>
            </w:pPr>
            <w:r>
              <w:rPr>
                <w:sz w:val="19"/>
                <w:szCs w:val="19"/>
              </w:rPr>
              <w:t xml:space="preserve">수익-채권 괴리 (이익의 현금화 저조)</w:t>
            </w:r>
          </w:p>
        </w:tc>
        <w:tc>
          <w:tcPr>
            <w:tcW w:w="5170" w:type="dxa"/>
          </w:tcPr>
          <w:p>
            <w:pPr>
              <w:spacing w:before="40" w:after="40"/>
            </w:pPr>
            <w:r>
              <w:rPr>
                <w:sz w:val="19"/>
                <w:szCs w:val="19"/>
              </w:rPr>
              <w:t xml:space="preserve">임계값 미달로 미발화</w:t>
            </w:r>
          </w:p>
        </w:tc>
      </w:tr>
      <w:tr>
        <w:tc>
          <w:tcPr>
            <w:tcW w:w="2700" w:type="dxa"/>
          </w:tcPr>
          <w:p>
            <w:pPr>
              <w:spacing w:before="40" w:after="40"/>
            </w:pPr>
            <w:r>
              <w:rPr>
                <w:sz w:val="19"/>
                <w:szCs w:val="19"/>
              </w:rPr>
              <w:t xml:space="preserve">E2</w:t>
            </w:r>
          </w:p>
        </w:tc>
        <w:tc>
          <w:tcPr>
            <w:tcW w:w="1200" w:type="dxa"/>
          </w:tcPr>
          <w:p>
            <w:pPr>
              <w:spacing w:before="40" w:after="40"/>
            </w:pPr>
            <w:r>
              <w:rPr>
                <w:sz w:val="19"/>
                <w:szCs w:val="19"/>
              </w:rPr>
              <w:t xml:space="preserve">재고 자산 적체</w:t>
            </w:r>
          </w:p>
        </w:tc>
        <w:tc>
          <w:tcPr>
            <w:tcW w:w="5170" w:type="dxa"/>
          </w:tcPr>
          <w:p>
            <w:pPr>
              <w:spacing w:before="40" w:after="40"/>
            </w:pPr>
            <w:r>
              <w:rPr>
                <w:sz w:val="19"/>
                <w:szCs w:val="19"/>
              </w:rPr>
              <w:t xml:space="preserve">임계값 미달로 미발화</w:t>
            </w:r>
          </w:p>
        </w:tc>
      </w:tr>
      <w:tr>
        <w:tc>
          <w:tcPr>
            <w:tcW w:w="2700" w:type="dxa"/>
          </w:tcPr>
          <w:p>
            <w:pPr>
              <w:spacing w:before="40" w:after="40"/>
            </w:pPr>
            <w:r>
              <w:rPr>
                <w:sz w:val="19"/>
                <w:szCs w:val="19"/>
              </w:rPr>
              <w:t xml:space="preserve">E3</w:t>
            </w:r>
          </w:p>
        </w:tc>
        <w:tc>
          <w:tcPr>
            <w:tcW w:w="1200" w:type="dxa"/>
          </w:tcPr>
          <w:p>
            <w:pPr>
              <w:spacing w:before="40" w:after="40"/>
            </w:pPr>
            <w:r>
              <w:rPr>
                <w:sz w:val="19"/>
                <w:szCs w:val="19"/>
              </w:rPr>
              <w:t xml:space="preserve">차입 확대·이자 부담</w:t>
            </w:r>
          </w:p>
        </w:tc>
        <w:tc>
          <w:tcPr>
            <w:tcW w:w="5170" w:type="dxa"/>
          </w:tcPr>
          <w:p>
            <w:pPr>
              <w:spacing w:before="40" w:after="40"/>
            </w:pPr>
            <w:r>
              <w:rPr>
                <w:sz w:val="19"/>
                <w:szCs w:val="19"/>
              </w:rPr>
              <w:t xml:space="preserve">임계값 미달로 미발화</w:t>
            </w:r>
          </w:p>
        </w:tc>
      </w:tr>
      <w:tr>
        <w:tc>
          <w:tcPr>
            <w:tcW w:w="2700" w:type="dxa"/>
          </w:tcPr>
          <w:p>
            <w:pPr>
              <w:spacing w:before="40" w:after="40"/>
            </w:pPr>
            <w:r>
              <w:rPr>
                <w:sz w:val="19"/>
                <w:szCs w:val="19"/>
              </w:rPr>
              <w:t xml:space="preserve">E4</w:t>
            </w:r>
          </w:p>
        </w:tc>
        <w:tc>
          <w:tcPr>
            <w:tcW w:w="1200" w:type="dxa"/>
          </w:tcPr>
          <w:p>
            <w:pPr>
              <w:spacing w:before="40" w:after="40"/>
            </w:pPr>
            <w:r>
              <w:rPr>
                <w:sz w:val="19"/>
                <w:szCs w:val="19"/>
              </w:rPr>
              <w:t xml:space="preserve">유동성 하락 (유동비율)</w:t>
            </w:r>
          </w:p>
        </w:tc>
        <w:tc>
          <w:tcPr>
            <w:tcW w:w="5170" w:type="dxa"/>
          </w:tcPr>
          <w:p>
            <w:pPr>
              <w:spacing w:before="40" w:after="40"/>
            </w:pPr>
            <w:r>
              <w:rPr>
                <w:sz w:val="19"/>
                <w:szCs w:val="19"/>
              </w:rPr>
              <w:t xml:space="preserve">임계값 미달로 미발화</w:t>
            </w:r>
          </w:p>
        </w:tc>
      </w:tr>
      <w:tr>
        <w:tc>
          <w:tcPr>
            <w:tcW w:w="2700" w:type="dxa"/>
          </w:tcPr>
          <w:p>
            <w:pPr>
              <w:spacing w:before="40" w:after="40"/>
            </w:pPr>
            <w:r>
              <w:rPr>
                <w:sz w:val="19"/>
                <w:szCs w:val="19"/>
              </w:rPr>
              <w:t xml:space="preserve">E5</w:t>
            </w:r>
          </w:p>
        </w:tc>
        <w:tc>
          <w:tcPr>
            <w:tcW w:w="1200" w:type="dxa"/>
          </w:tcPr>
          <w:p>
            <w:pPr>
              <w:spacing w:before="40" w:after="40"/>
            </w:pPr>
            <w:r>
              <w:rPr>
                <w:sz w:val="19"/>
                <w:szCs w:val="19"/>
              </w:rPr>
              <w:t xml:space="preserve">공시 행간 (정정·해명 패턴)</w:t>
            </w:r>
          </w:p>
        </w:tc>
        <w:tc>
          <w:tcPr>
            <w:tcW w:w="5170" w:type="dxa"/>
          </w:tcPr>
          <w:p>
            <w:pPr>
              <w:spacing w:before="40" w:after="40"/>
            </w:pPr>
            <w:r>
              <w:rPr>
                <w:sz w:val="19"/>
                <w:szCs w:val="19"/>
              </w:rPr>
              <w:t xml:space="preserve">임계값 미달로 미발화</w:t>
            </w:r>
          </w:p>
        </w:tc>
      </w:tr>
      <w:tr>
        <w:tc>
          <w:tcPr>
            <w:tcW w:w="2700" w:type="dxa"/>
          </w:tcPr>
          <w:p>
            <w:pPr>
              <w:spacing w:before="40" w:after="40"/>
            </w:pPr>
            <w:r>
              <w:rPr>
                <w:sz w:val="19"/>
                <w:szCs w:val="19"/>
              </w:rPr>
              <w:t xml:space="preserve">E8</w:t>
            </w:r>
          </w:p>
        </w:tc>
        <w:tc>
          <w:tcPr>
            <w:tcW w:w="1200" w:type="dxa"/>
          </w:tcPr>
          <w:p>
            <w:pPr>
              <w:spacing w:before="40" w:after="40"/>
            </w:pPr>
            <w:r>
              <w:rPr>
                <w:sz w:val="19"/>
                <w:szCs w:val="19"/>
              </w:rPr>
              <w:t xml:space="preserve">발생액 품질 (이익-현금 괴리)</w:t>
            </w:r>
          </w:p>
        </w:tc>
        <w:tc>
          <w:tcPr>
            <w:tcW w:w="5170" w:type="dxa"/>
          </w:tcPr>
          <w:p>
            <w:pPr>
              <w:spacing w:before="40" w:after="40"/>
            </w:pPr>
            <w:r>
              <w:rPr>
                <w:sz w:val="19"/>
                <w:szCs w:val="19"/>
              </w:rPr>
              <w:t xml:space="preserve">임계값 미달로 미발화</w:t>
            </w:r>
          </w:p>
        </w:tc>
      </w:tr>
    </w:tbl>
    <w:p>
      <w:pPr>
        <w:pBdr>
          <w:left w:val="single" w:sz="24" w:space="8" w:color="D04A02"/>
        </w:pBdr>
        <w:shd w:val="clear" w:color="auto" w:fill="FBF4EE"/>
        <w:spacing w:before="60" w:after="120" w:line="276" w:lineRule="auto"/>
        <w:ind w:left="284" w:right="284"/>
        <w:jc w:val="both"/>
      </w:pPr>
      <w:r>
        <w:t xml:space="preserve">여섯 축 모두 평가 가능한 데이터가 확보된 상태에서 미발화한 것이므로, "데이터가 없어 판정하지 못한 것"이 아니라 "판정한 결과 임계값에 이르지 않은 것"입니다. 매출 성장 대비 채권·재고의 동행성, 차입 규모와 이자 부담, 단기 지급 능력, 공시 정정·해명 빈도, 이익과 현금흐름의 괴리 폭이 모두 발화 기준 안쪽에 머물렀습니다.</w:t>
      </w:r>
    </w:p>
    <w:p>
      <w:pPr>
        <w:pStyle w:val="Heading1"/>
      </w:pPr>
      <w:r>
        <w:rPr>
          <w:b/>
          <w:color w:val="1B2A4A"/>
        </w:rPr>
        <w:t xml:space="preserve">상시 점검 권고 (리스크 아님 — 다음 진단 주기까지의 관찰 항목)</w:t>
      </w:r>
    </w:p>
    <w:p>
      <w:pPr>
        <w:jc w:val="both"/>
      </w:pPr>
      <w:r>
        <w:t xml:space="preserve">미발화 상태를 유지하는지 확인하는 차원의 정례 점검이며, 현재 문제의 징후로 읽으실 사안은 아닙니다.</w:t>
      </w:r>
    </w:p>
    <w:p>
      <w:pPr>
        <w:jc w:val="both"/>
      </w:pPr>
      <w:r>
        <w:t xml:space="preserve">1. </w:t>
      </w:r>
      <w:r>
        <w:rPr>
          <w:b/>
        </w:rPr>
        <w:t xml:space="preserve">수익성-현금흐름 동행성</w:t>
      </w:r>
      <w:r>
        <w:t xml:space="preserve">: 백신 사업 특성상 매출 인식과 현금 회수의 계절성이 큽니다. 분기 단위로 영업현금흐름이 손익과 같은 방향으로 움직이는지 확인하는 것을 권고드립니다 (E1·E8 축의 조기 경보 역할).</w:t>
      </w:r>
    </w:p>
    <w:p>
      <w:pPr>
        <w:jc w:val="both"/>
      </w:pPr>
      <w:r>
        <w:t xml:space="preserve">2. </w:t>
      </w:r>
      <w:r>
        <w:rPr>
          <w:b/>
        </w:rPr>
        <w:t xml:space="preserve">유동성 여력의 방향성</w:t>
      </w:r>
      <w:r>
        <w:t xml:space="preserve">: 유동비율이 임계값 위에 있더라도 하락 추세 자체는 시설 투자·연구개발 지출 국면에서 자연스럽게 나타날 수 있습니다. 단기차입 상환 스케줄과 미사용 여신한도를 반기마다 대조하시길 권고드립니다.</w:t>
      </w:r>
    </w:p>
    <w:p>
      <w:pPr>
        <w:jc w:val="both"/>
      </w:pPr>
      <w:r>
        <w:t xml:space="preserve">3. </w:t>
      </w:r>
      <w:r>
        <w:rPr>
          <w:b/>
        </w:rPr>
        <w:t xml:space="preserve">공시 프로세스 유지</w:t>
      </w:r>
      <w:r>
        <w:t xml:space="preserve">: 관찰 창 내 정정·해명 패턴이 발화하지 않은 현 상태는 공시 검수 체인이 작동하고 있다는 방증으로 해석할 수 있습니다. 현행 검수 체계를 유지하시면 됩니다.</w:t>
      </w:r>
    </w:p>
    <w:p>
      <w:pPr>
        <w:pStyle w:val="Heading1"/>
      </w:pPr>
      <w:r>
        <w:rPr>
          <w:b/>
          <w:color w:val="1B2A4A"/>
        </w:rPr>
        <w:t xml:space="preserve">확인 범위와 한계</w:t>
      </w:r>
    </w:p>
    <w:p>
      <w:pPr>
        <w:pStyle w:val="ListParagraph"/>
        <w:numPr>
          <w:ilvl w:val="0"/>
          <w:numId w:val="1"/>
        </w:numPr>
        <w:jc w:val="both"/>
      </w:pPr>
      <w:r>
        <w:rPr>
          <w:b/>
        </w:rPr>
        <w:t xml:space="preserve">이 브리핑이 확인한 것</w:t>
      </w:r>
      <w:r>
        <w:t xml:space="preserve">: DART 공시 재무 데이터와 한국은행 거시 지표에서 파생한 외부 신호 6축이 발화 임계값에 도달하지 않았다는 사실입니다. 이는 해당 축들에 한정된 판정이며, 재무 건전성 전반에 대한 보증이 아닙니다.</w:t>
      </w:r>
    </w:p>
    <w:p>
      <w:pPr>
        <w:pStyle w:val="ListParagraph"/>
        <w:numPr>
          <w:ilvl w:val="0"/>
          <w:numId w:val="1"/>
        </w:numPr>
        <w:jc w:val="both"/>
      </w:pPr>
      <w:r>
        <w:rPr>
          <w:b/>
        </w:rPr>
        <w:t xml:space="preserve">이 브리핑이 확인하지 못한 것</w:t>
      </w:r>
      <w:r>
        <w:t xml:space="preserve">: 내부 회계 CSV가 제공되지 않아 상세 축(거래처 집중, 원가 왜곡, 내부-공시 대사)은 평가하지 못했습니다. 뉴스·평판 축, 시장(주가·밸류에이션) 축, 비정형 문서 축도 이번 진단 범위에 포함되지 않았습니다.</w:t>
      </w:r>
    </w:p>
    <w:p>
      <w:pPr>
        <w:pStyle w:val="ListParagraph"/>
        <w:numPr>
          <w:ilvl w:val="0"/>
          <w:numId w:val="1"/>
        </w:numPr>
        <w:jc w:val="both"/>
      </w:pPr>
      <w:r>
        <w:rPr>
          <w:b/>
        </w:rPr>
        <w:t xml:space="preserve">판정의 성격</w:t>
      </w:r>
      <w:r>
        <w:t xml:space="preserve">: 모든 판정은 임계값 기반 결정론 계산의 결과이며, 임계값 미달이 리스크의 부재를 단정하는 것은 아닙니다. 임계값 바로 아래에서 움직이는 항목은 다음 진단 주기에서 발화로 전환될 수 있습니다.</w:t>
      </w:r>
    </w:p>
    <w:p>
      <w:pPr>
        <w:pStyle w:val="ListParagraph"/>
        <w:numPr>
          <w:ilvl w:val="0"/>
          <w:numId w:val="1"/>
        </w:numPr>
        <w:jc w:val="both"/>
      </w:pPr>
      <w:r>
        <w:rPr>
          <w:b/>
        </w:rPr>
        <w:t xml:space="preserve">데이터 시점 한계</w:t>
      </w:r>
      <w:r>
        <w:t xml:space="preserve">: 연결재무제표 연 단위 데이터 기준이므로, 분기 중 발생한 변동은 다음 공시 반영 전까지 이 진단에 포착되지 않습니다.</w:t>
      </w:r>
    </w:p>
    <w:p>
      <w:pPr>
        <w:jc w:val="both"/>
      </w:pPr>
      <w:r>
        <w:t xml:space="preserve">*본 브리핑은 공시·거시 데이터 기반 자동 진단의 산출물이며, 발화 신호 0건 판정은 위 확인 범위 안에서만 유효합니다.*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에스케이바이오사이언스(주)</dc:title>
  <dc:creator>Trusted CEO Agent</dc:creator>
  <cp:lastModifiedBy>Trusted CEO Agent</cp:lastModifiedBy>
  <dcterms:created xsi:type="dcterms:W3CDTF">2026-07-14T00:00:00Z</dcterms:created>
  <dcterms:modified xsi:type="dcterms:W3CDTF">2026-07-14T00:00:00Z</dcterms:modified>
</cp:coreProperties>
</file>