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라온피플 주식회사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차입 확대·이자 부담 (E3)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① 차입 계약 전수의 만기·금리·약정 조건 일람표, ② 향후 4분기 이자지급 스케줄 대비 현금 소요 계획을 2주 내 보고받으시고, 신규 차입 승인은 이 일람표 검토 완료 전까지 대표이사 직접 결재로 격상하시기를 권고합니다.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유동성 하락 (E4)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13주 단위 현금흐름 전망(rolling cash forecast)을 도입해 대표이사 주간 보고 항목으로 격상하시고, 미사용 여신한도·유상증자·자산 유동화 등 유동성 보강 옵션의 실행 조건을 한도 소진 전에 미리 협상해 두시기를 권고합니다.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라온피플 주식회사 (대표이사 이석중, 종목코드 300120, 사업자등록번호 129-86-41679)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 관찰 구간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관찰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탐지 결과</w:t>
      </w:r>
      <w:r>
        <w:t xml:space="preserve">: 외부 신호 6종 평가 중 </w:t>
      </w:r>
      <w:r>
        <w:rPr>
          <w:b/>
        </w:rPr>
        <w:t xml:space="preserve">2종 발화</w:t>
      </w:r>
      <w:r>
        <w:t xml:space="preserve"> (E3 차입 확대·이자 부담, E4 유동성 하락)</w:t>
      </w:r>
    </w:p>
    <w:p>
      <w:pPr>
        <w:pStyle w:val="Heading1"/>
      </w:pPr>
      <w:r>
        <w:rPr>
          <w:b/>
          <w:color w:val="1B2A4A"/>
        </w:rPr>
        <w:t xml:space="preserve">리스크 1 — 차입 확대·이자 부담 (E3)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영업이익으로 이자를 감당하지 못하는 상태에서 차입이 큰 폭으로 늘어, 재무구조가 외부 조달 의존형으로 이동하고 있습니다.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**근거 (수치 + 출처)**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차입금 증가율 </w:t>
      </w:r>
      <w:r>
        <w:rPr>
          <w:b/>
        </w:rPr>
        <w:t xml:space="preserve">+180.6%</w:t>
      </w:r>
      <w:r>
        <w:t xml:space="preserve"> (0→0조 원 구간, DART 공시 연결재무제표 파생)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이자보상배율 </w:t>
      </w:r>
      <w:r>
        <w:rPr>
          <w:b/>
        </w:rPr>
        <w:t xml:space="preserve">-72.2배 → -25.9배</w:t>
      </w:r>
      <w:r>
        <w:t xml:space="preserve"> (영업이익/이자지급, 2개년 추이) — 두 해 모두 음수로, 영업이익이 적자인 상태에서 이자를 지급 중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커버리지 변동폭 </w:t>
      </w:r>
      <w:r>
        <w:rPr>
          <w:b/>
        </w:rPr>
        <w:t xml:space="preserve">64.1%</w:t>
      </w:r>
      <w:r>
        <w:t xml:space="preserve"> (진단 패킷 파생값)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영업활동이 이자비용을 자체적으로 감당하지 못하는 국면에서 차입을 늘리면, 부족한 현금흐름을 새 차입으로 메우고 그 차입이 다시 이자 부담을 키우는 순환 구조에 들어설 수 있습니다. 이 구조는 금리·신용등급·차환 시장 중 어느 하나만 악화되어도 상환 압박이 급격히 현실화되며, 대표이사가 통제할 수 있는 시점은 차환이 막히기 전인 지금입니다.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(공시 수치 기반 파생 — 다만 "구조적 악순환 진입 여부"는 아래 판별 테스트로 확정 필요)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차입금 만기 구조(주석)를 확인 — 1년 내 만기 비중이 높으면 차환 리스크가 즉시 과제</w:t>
      </w:r>
    </w:p>
    <w:p>
      <w:pPr>
        <w:jc w:val="both"/>
      </w:pPr>
      <w:r>
        <w:t xml:space="preserve">2. 변동/고정 금리 구성 확인 — 변동 비중이 높으면 기준금리 2.5% 유지 시나리오에서도 스프레드 재산정 리스크 존재</w:t>
      </w:r>
    </w:p>
    <w:p>
      <w:pPr>
        <w:jc w:val="both"/>
      </w:pPr>
      <w:r>
        <w:t xml:space="preserve">3. 약정(covenant) 조건 확인 — 이자보상배율·부채비율 트리거 조항이 있으면 기한이익상실 조기 경보 지점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CFO에게 ① 차입 계약 전수의 만기·금리·약정 조건 일람표, ② 향후 4분기 이자지급 스케줄 대비 현금 소요 계획을 2주 내 보고받으시고, 신규 차입 승인은 이 일람표 검토 완료 전까지 대표이사 직접 결재로 격상하시기를 권고합니다.</w:t>
      </w:r>
    </w:p>
    <w:p>
      <w:pPr>
        <w:pStyle w:val="Heading1"/>
      </w:pPr>
      <w:r>
        <w:rPr>
          <w:b/>
          <w:color w:val="1B2A4A"/>
        </w:rPr>
        <w:t xml:space="preserve">리스크 2 — 유동성 하락 (E4)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유동비율이 2년 연속 하락해 단기 지급 능력의 완충이 임계 수준 아래로 내려왔습니다.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**근거 (수치 + 출처)**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유동비율 추이 </w:t>
      </w:r>
      <w:r>
        <w:rPr>
          <w:b/>
        </w:rPr>
        <w:t xml:space="preserve">112.9% → 92.2% → 73.8%</w:t>
      </w:r>
      <w:r>
        <w:t xml:space="preserve"> (3개년, DART 공시 연결재무제표 파생)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2년 연속 하락 확인, 최근치 73.8%는 하한 기준(100%)을 하회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유동비율이 100%를 밑돈다는 것은 1년 내 갚아야 할 부채가 1년 내 현금화 가능한 자산보다 많다는 뜻이며, 이 상태가 리스크 1의 차입 확대와 겹치면 단기 상환 요구가 왔을 때 자산 매각·추가 차입 같은 불리한 조건의 대응을 강요당할 수 있습니다. 하락이 일회성이 아니라 2년 연속 추세라는 점이 구조적 원인(운전자본 관리 또는 수익성)을 시사합니다.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(하락 추세와 임계 하회는 공시 수치로 확정 — 하락의 원인 계정은 판별 테스트 대상)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단기차입 상환 스케줄을 월 단위로 분해 — 특정 분기에 상환이 몰려 있는지 확인</w:t>
      </w:r>
    </w:p>
    <w:p>
      <w:pPr>
        <w:jc w:val="both"/>
      </w:pPr>
      <w:r>
        <w:t xml:space="preserve">2. 미사용 여신한도(주석) 확인 — 한도가 충분하면 완충 존재, 소진 상태면 리스크 격상</w:t>
      </w:r>
    </w:p>
    <w:p>
      <w:pPr>
        <w:jc w:val="both"/>
      </w:pPr>
      <w:r>
        <w:t xml:space="preserve">3. 현금성자산 대비 단기부채 비율 확인 — 유동자산 중 재고·채권을 제외한 즉시 동원력 측정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13주 단위 현금흐름 전망(rolling cash forecast)을 도입해 대표이사 주간 보고 항목으로 격상하시고, 미사용 여신한도·유상증자·자산 유동화 등 유동성 보강 옵션의 실행 조건을 한도 소진 전에 미리 협상해 두시기를 권고합니다.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수익-채권 괴리(E1), 재고 적체(E2), 공시 정정·해명 패턴(E5), 발생액 품질(E8)은 모두 임계값 미달로 미발화했습니다. 특히 채권·재고가 오히려 감소 방향이라는 점은 운전자본 측면의 추가 부담이 확인되지 않았다는 의미입니다. 다만 미발화는 "무혐의 확정"이 아니라 "이번 기준으로는 포착되지 않음"이며, 위 두 리스크의 원인 규명 과정에서 함께 재확인되는 것이 자연스럽습니다.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재무제표(2025 연결)와 한국은행 거시지표에서 결정론적으로 파생된 신호에 기반하며, </w:t>
      </w:r>
      <w:r>
        <w:rPr>
          <w:b/>
        </w:rPr>
        <w:t xml:space="preserve">내부 회계 데이터(거래처·원가 상세), 뉴스·시장 신호, 비정형 문서는 이번 진단 범위에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두 신호는 "재무구조상 점검이 필요한 상태"를 가리키는 것이지, 회계 처리의 적정성이나 부정에 대한 판단이 아닙니다. 인과 서술은 공시 수치와 정합하는 가설적 메커니즘이며, 각 판별 테스트를 통과해야 확정됩니다.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 규모의 절대값이 조 단위 표기상 0→0조 구간(조 미만)이므로, 증가율(180.6%)의 체감 크기는 원 단위 절대액 확인과 병행해 해석하셔야 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진단 시점은 2026-07-15이며, 이후 공시·차입 계약 변동은 반영되어 있지 않습니다.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라온피플 주식회사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