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hd w:val="clear" w:color="auto" w:fill="D04A02"/>
        <w:spacing w:before="0" w:after="480"/>
      </w:pPr>
      <w:r>
        <w:t xml:space="preserve"> </w:t>
      </w:r>
    </w:p>
    <w:p>
      <w:pPr>
        <w:spacing w:before="1200" w:after="120"/>
      </w:pPr>
      <w:r>
        <w:rPr>
          <w:color w:val="595959"/>
          <w:sz w:val="22"/>
          <w:szCs w:val="22"/>
        </w:rPr>
        <w:t xml:space="preserve">CEO 경영 리스크 브리핑</w:t>
      </w:r>
    </w:p>
    <w:p>
      <w:pPr>
        <w:spacing w:after="360"/>
      </w:pPr>
      <w:r>
        <w:rPr>
          <w:b/>
          <w:color w:val="1B2A4A"/>
          <w:sz w:val="52"/>
          <w:szCs w:val="52"/>
        </w:rPr>
        <w:t xml:space="preserve">CEO 서명용 경영리스크 브리핑 — (주)바이오톡스텍</w:t>
      </w:r>
    </w:p>
    <w:p>
      <w:pPr>
        <w:spacing w:after="160"/>
      </w:pPr>
      <w:r>
        <w:rPr>
          <w:b/>
          <w:color w:val="D04A02"/>
          <w:sz w:val="20"/>
          <w:szCs w:val="20"/>
        </w:rPr>
        <w:t xml:space="preserve">대외비 · Confidential</w:t>
      </w:r>
    </w:p>
    <w:p>
      <w:pPr>
        <w:spacing w:after="600"/>
      </w:pPr>
      <w:r>
        <w:rPr>
          <w:color w:val="595959"/>
          <w:sz w:val="20"/>
          <w:szCs w:val="20"/>
        </w:rPr>
        <w:t xml:space="preserve">작성일 2026-07-14</w:t>
      </w:r>
    </w:p>
    <w:p>
      <w:pPr>
        <w:spacing w:before="2400" w:after="0"/>
      </w:pPr>
      <w:r>
        <w:rPr>
          <w:color w:val="A6A6A6"/>
          <w:sz w:val="16"/>
          <w:szCs w:val="16"/>
        </w:rPr>
        <w:t xml:space="preserve">본 보고서는 trusted-ceo-agent 진단 파이프라인(불변식 게이트 → 결정론 신호 파생 → 자동 채점)을 통과한 데이터에 기반해 작성되었으며, CEO 경영 판단 보조 자료로서 투자자문·투자권유가 아닙니다.</w:t>
      </w:r>
    </w:p>
    <w:p>
      <w:r>
        <w:br w:type="page"/>
      </w:r>
    </w:p>
    <w:p>
      <w:pPr>
        <w:pStyle w:val="Heading1"/>
      </w:pPr>
      <w:r>
        <w:rPr>
          <w:b/>
          <w:color w:val="1B2A4A"/>
        </w:rPr>
        <w:t xml:space="preserve">Executive Snapshot</w:t>
      </w:r>
    </w:p>
    <w:p>
      <w:pPr>
        <w:jc w:val="center"/>
        <w:spacing w:before="120" w:after="240"/>
      </w:pPr>
      <w:r>
        <w:drawing>
          <wp:inline xmlns:wp="http://schemas.openxmlformats.org/drawingml/2006/wordprocessingDrawing" distT="0" distB="0" distL="0" distR="0">
            <wp:extent cx="5943600" cy="3714750"/>
            <wp:effectExtent l="0" t="0" r="0" b="0"/>
            <wp:docPr id="1" name="Executive Snap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xecutive-summary.png"/>
                    <pic:cNvPicPr/>
                  </pic:nvPicPr>
                  <pic:blipFill>
                    <a:blip xmlns:r="http://schemas.openxmlformats.org/officeDocument/2006/relationships" r:embed="rIdSnapshot"/>
                    <a:stretch>
                      <a:fillRect/>
                    </a:stretch>
                  </pic:blipFill>
                  <pic:spPr>
                    <a:xfrm>
                      <a:off x="0" y="0"/>
                      <a:ext cx="5943600" cy="3714750"/>
                    </a:xfrm>
                    <a:prstGeom prst="rect">
                      <a:avLst/>
                    </a:prstGeom>
                  </pic:spPr>
                </pic:pic>
              </a:graphicData>
            </a:graphic>
          </wp:inline>
        </w:drawing>
      </w:r>
    </w:p>
    <w:p>
      <w:r>
        <w:br w:type="page"/>
      </w:r>
    </w:p>
    <w:p>
      <w:pPr>
        <w:pStyle w:val="Heading1"/>
      </w:pPr>
      <w:r>
        <w:rPr>
          <w:b/>
          <w:color w:val="1B2A4A"/>
        </w:rPr>
        <w:t xml:space="preserve">핵심 리스크 한눈에 보기</w:t>
      </w:r>
    </w:p>
    <w:tbl>
      <w:tblPr>
        <w:tblStyle w:val="TableGrid"/>
        <w:tblW w:w="9070" w:type="dxa"/>
        <w:tblLayout w:type="fixed"/>
        <w:tblBorders>
          <w:top w:val="single" w:sz="4" w:color="D9D9D9"/>
          <w:left w:val="single" w:sz="4" w:color="D9D9D9"/>
          <w:bottom w:val="single" w:sz="4" w:color="D9D9D9"/>
          <w:right w:val="single" w:sz="4" w:color="D9D9D9"/>
          <w:insideH w:val="single" w:sz="4" w:color="D9D9D9"/>
          <w:insideV w:val="single" w:sz="4" w:color="D9D9D9"/>
        </w:tblBorders>
      </w:tblPr>
      <w:tr>
        <w:tc>
          <w:tcPr>
            <w:tcW w:w="700" w:type="dxa"/>
            <w:shd w:val="clear" w:color="auto" w:fill="F2E8E0"/>
            <w:vAlign w:val="center"/>
          </w:tcPr>
          <w:p>
            <w:pPr>
              <w:spacing w:before="60" w:after="60"/>
            </w:pPr>
            <w:r>
              <w:rPr>
                <w:b/>
                <w:color w:val="1B2A4A"/>
                <w:sz w:val="19"/>
                <w:szCs w:val="19"/>
              </w:rPr>
              <w:t xml:space="preserve">구분</w:t>
            </w:r>
          </w:p>
        </w:tc>
        <w:tc>
          <w:tcPr>
            <w:tcW w:w="3300" w:type="dxa"/>
            <w:shd w:val="clear" w:color="auto" w:fill="F2E8E0"/>
            <w:vAlign w:val="center"/>
          </w:tcPr>
          <w:p>
            <w:pPr>
              <w:spacing w:before="60" w:after="60"/>
            </w:pPr>
            <w:r>
              <w:rPr>
                <w:b/>
                <w:color w:val="1B2A4A"/>
                <w:sz w:val="19"/>
                <w:szCs w:val="19"/>
              </w:rPr>
              <w:t xml:space="preserve">리스크</w:t>
            </w:r>
          </w:p>
        </w:tc>
        <w:tc>
          <w:tcPr>
            <w:tcW w:w="1100" w:type="dxa"/>
            <w:shd w:val="clear" w:color="auto" w:fill="F2E8E0"/>
            <w:vAlign w:val="center"/>
          </w:tcPr>
          <w:p>
            <w:pPr>
              <w:spacing w:before="60" w:after="60"/>
            </w:pPr>
            <w:r>
              <w:rPr>
                <w:b/>
                <w:color w:val="1B2A4A"/>
                <w:sz w:val="19"/>
                <w:szCs w:val="19"/>
              </w:rPr>
              <w:t xml:space="preserve">확신도</w:t>
            </w:r>
          </w:p>
        </w:tc>
        <w:tc>
          <w:tcPr>
            <w:tcW w:w="3970" w:type="dxa"/>
            <w:shd w:val="clear" w:color="auto" w:fill="F2E8E0"/>
            <w:vAlign w:val="center"/>
          </w:tcPr>
          <w:p>
            <w:pPr>
              <w:spacing w:before="60" w:after="60"/>
            </w:pPr>
            <w:r>
              <w:rPr>
                <w:b/>
                <w:color w:val="1B2A4A"/>
                <w:sz w:val="19"/>
                <w:szCs w:val="19"/>
              </w:rPr>
              <w:t xml:space="preserve">최우선 조치</w:t>
            </w:r>
          </w:p>
        </w:tc>
      </w:tr>
      <w:tr>
        <w:tc>
          <w:tcPr>
            <w:tcW w:w="700" w:type="dxa"/>
            <w:vAlign w:val="center"/>
          </w:tcPr>
          <w:p>
            <w:pPr>
              <w:spacing w:before="60" w:after="60"/>
            </w:pPr>
            <w:r>
              <w:rPr>
                <w:b/>
                <w:color w:val="D04A02"/>
                <w:sz w:val="19"/>
                <w:szCs w:val="19"/>
              </w:rPr>
              <w:t xml:space="preserve">R1</w:t>
            </w:r>
          </w:p>
        </w:tc>
        <w:tc>
          <w:tcPr>
            <w:tcW w:w="3300" w:type="dxa"/>
            <w:vAlign w:val="center"/>
          </w:tcPr>
          <w:p>
            <w:pPr>
              <w:spacing w:before="60" w:after="60"/>
            </w:pPr>
            <w:r>
              <w:rPr>
                <w:b/>
                <w:sz w:val="19"/>
                <w:szCs w:val="19"/>
              </w:rPr>
              <w:t xml:space="preserve">유동성 하락: 유동비율 3년 연속 하락, 단기 지급 여력 기준선 이탈 (E4)</w:t>
            </w:r>
          </w:p>
        </w:tc>
        <w:tc>
          <w:tcPr>
            <w:tcW w:w="1100" w:type="dxa"/>
            <w:vAlign w:val="center"/>
          </w:tcPr>
          <w:p>
            <w:pPr>
              <w:spacing w:before="60" w:after="60"/>
            </w:pPr>
            <w:r>
              <w:rPr>
                <w:b/>
                <w:color w:val="1F7A33"/>
                <w:sz w:val="19"/>
                <w:szCs w:val="19"/>
              </w:rPr>
              <w:t xml:space="preserve">확인됨</w:t>
            </w:r>
          </w:p>
        </w:tc>
        <w:tc>
          <w:tcPr>
            <w:tcW w:w="3970" w:type="dxa"/>
            <w:vAlign w:val="center"/>
          </w:tcPr>
          <w:p>
            <w:pPr>
              <w:spacing w:before="60" w:after="60"/>
            </w:pPr>
            <w:r>
              <w:rPr>
                <w:sz w:val="19"/>
                <w:szCs w:val="19"/>
              </w:rPr>
              <w:t xml:space="preserve">재무 담당 임원에게 12개월 만기 스케줄표와 미사용 여신한도 현황을 이번 주 내 보고받으십시오.</w:t>
            </w:r>
          </w:p>
        </w:tc>
      </w:tr>
    </w:tbl>
    <w:p>
      <w:pPr>
        <w:spacing w:before="80" w:after="240"/>
      </w:pPr>
      <w:r>
        <w:rPr>
          <w:color w:val="A6A6A6"/>
          <w:sz w:val="17"/>
          <w:szCs w:val="17"/>
        </w:rPr>
        <w:t xml:space="preserve">표의 확신도는 본문 각 리스크 절의 확신도 표기를 그대로 요약한 것입니다. 상세 근거 수치와 판별 테스트는 본문을 참조하십시오.</w:t>
      </w:r>
    </w:p>
    <w:p>
      <w:pPr>
        <w:pStyle w:val="ListParagraph"/>
        <w:numPr>
          <w:ilvl w:val="0"/>
          <w:numId w:val="1"/>
        </w:numPr>
        <w:jc w:val="both"/>
      </w:pPr>
      <w:r>
        <w:rPr>
          <w:b/>
        </w:rPr>
        <w:t xml:space="preserve">대상 기업</w:t>
      </w:r>
      <w:r>
        <w:t xml:space="preserve">: (주)바이오톡스텍 (종목코드 086040, 대표이사 강종구, 사업자등록번호 301-81-45781)</w:t>
      </w:r>
    </w:p>
    <w:p>
      <w:pPr>
        <w:pStyle w:val="ListParagraph"/>
        <w:numPr>
          <w:ilvl w:val="0"/>
          <w:numId w:val="1"/>
        </w:numPr>
        <w:jc w:val="both"/>
      </w:pPr>
      <w:r>
        <w:rPr>
          <w:b/>
        </w:rPr>
        <w:t xml:space="preserve">기준 데이터</w:t>
      </w:r>
      <w:r>
        <w:t xml:space="preserve">: 2025 사업연도 연결재무제표(CFS) 공시 + 최근 90일 공시 이력 + 거시지표</w:t>
      </w:r>
    </w:p>
    <w:p>
      <w:pPr>
        <w:pStyle w:val="ListParagraph"/>
        <w:numPr>
          <w:ilvl w:val="0"/>
          <w:numId w:val="1"/>
        </w:numPr>
        <w:jc w:val="both"/>
      </w:pPr>
      <w:r>
        <w:rPr>
          <w:b/>
        </w:rPr>
        <w:t xml:space="preserve">거시 맥락</w:t>
      </w:r>
      <w:r>
        <w:t xml:space="preserve">: 한국은행 기준금리 2.5% (2026-07-12 기준, 관측 구간 내 변동 없음 — 출처: ECOS)</w:t>
      </w:r>
    </w:p>
    <w:p>
      <w:pPr>
        <w:pStyle w:val="ListParagraph"/>
        <w:numPr>
          <w:ilvl w:val="0"/>
          <w:numId w:val="1"/>
        </w:numPr>
        <w:jc w:val="both"/>
      </w:pPr>
      <w:r>
        <w:rPr>
          <w:b/>
        </w:rPr>
        <w:t xml:space="preserve">발화 신호</w:t>
      </w:r>
      <w:r>
        <w:t xml:space="preserve">: 외부 신호 6종 중 </w:t>
      </w:r>
      <w:r>
        <w:rPr>
          <w:b/>
        </w:rPr>
        <w:t xml:space="preserve">1종 발화 (E4 유동성 하락)</w:t>
      </w:r>
    </w:p>
    <w:p>
      <w:pPr>
        <w:pStyle w:val="Heading1"/>
      </w:pPr>
      <w:r>
        <w:rPr>
          <w:b/>
          <w:color w:val="1B2A4A"/>
        </w:rPr>
        <w:t xml:space="preserve">리스크 1 — 유동성 하락: 유동비율 3년 연속 하락, 단기 지급 여력 기준선 이탈 (E4)</w:t>
      </w:r>
    </w:p>
    <w:p>
      <w:pPr>
        <w:jc w:val="both"/>
      </w:pPr>
      <w:r>
        <w:rPr>
          <w:b/>
          <w:color w:val="1B2A4A"/>
        </w:rPr>
        <w:t xml:space="preserve">결론. </w:t>
      </w:r>
    </w:p>
    <w:p>
      <w:pPr>
        <w:jc w:val="both"/>
      </w:pPr>
      <w:r>
        <w:t xml:space="preserve">유동비율이 86.1% → 71.7% → </w:t>
      </w:r>
      <w:r>
        <w:rPr>
          <w:b/>
        </w:rPr>
        <w:t xml:space="preserve">56.9%</w:t>
      </w:r>
      <w:r>
        <w:t xml:space="preserve"> 로 3개 연도에 걸쳐 연속 하락하며, 유동부채 대비 유동자산이 약 절반 수준까지 내려왔습니다. 단기 상환 부담이 자산 회수 속도를 앞지르고 있을 가능성을 점검해야 할 시점입니다.</w:t>
      </w:r>
    </w:p>
    <w:p>
      <w:pPr>
        <w:jc w:val="both"/>
      </w:pPr>
      <w:r>
        <w:rPr>
          <w:b/>
        </w:rPr>
        <w:t xml:space="preserve">근거 (수치 + 출처)</w:t>
      </w:r>
    </w:p>
    <w:p>
      <w:pPr>
        <w:pStyle w:val="ListParagraph"/>
        <w:numPr>
          <w:ilvl w:val="0"/>
          <w:numId w:val="1"/>
        </w:numPr>
        <w:jc w:val="both"/>
      </w:pPr>
      <w:r>
        <w:t xml:space="preserve">유동비율 추이: 86.1% → 71.7% → </w:t>
      </w:r>
      <w:r>
        <w:rPr>
          <w:b/>
        </w:rPr>
        <w:t xml:space="preserve">56.9%</w:t>
      </w:r>
      <w:r>
        <w:t xml:space="preserve"> (2개년 연속 하락 확인) — 출처: DART 정기보고서 연결재무제표 파생 계산</w:t>
      </w:r>
    </w:p>
    <w:p>
      <w:pPr>
        <w:pStyle w:val="ListParagraph"/>
        <w:numPr>
          <w:ilvl w:val="0"/>
          <w:numId w:val="1"/>
        </w:numPr>
        <w:jc w:val="both"/>
      </w:pPr>
      <w:r>
        <w:t xml:space="preserve">판정 기준: 하한 100% 미달 + 2년 연속 하락 동시 충족 (진단 프레임워크 E4 임계값)</w:t>
      </w:r>
    </w:p>
    <w:p>
      <w:pPr>
        <w:jc w:val="both"/>
      </w:pPr>
      <w:r>
        <w:rPr>
          <w:b/>
        </w:rPr>
        <w:t xml:space="preserve">왜 문제인가 (인과 사슬)</w:t>
      </w:r>
    </w:p>
    <w:p>
      <w:pPr>
        <w:jc w:val="both"/>
      </w:pPr>
      <w:r>
        <w:t xml:space="preserve">유동비율이 100%를 밑돈다는 것은 향후 1년 내 갚아야 할 부채를 1년 내 현금화 가능한 자산으로 다 덮지 못한다는 뜻입니다. 이 상태가 일회성이 아니라 3개 연도에 걸쳐 심화되고 있다는 점이 핵심입니다 — 추세형 하락은 운전자본 구조 자체가 단기부채 의존 쪽으로 이동하고 있음을 시사하며, 이 경우 매출이나 이익이 유지되더라도 상환 만기가 집중되는 시점에 외부 조달(차입 연장·유상증자)에 대한 의존도가 갑자기 커집니다. 조달 시장이 닫히거나 조건이 나빠지는 국면과 만기가 겹치면, 손익과 무관하게 지급 능력 문제로 전이될 수 있는 구조입니다.</w:t>
      </w:r>
    </w:p>
    <w:p>
      <w:pPr>
        <w:jc w:val="both"/>
      </w:pPr>
      <w:r>
        <w:rPr>
          <w:b/>
          <w:color w:val="1B2A4A"/>
        </w:rPr>
        <w:t xml:space="preserve">확신도. </w:t>
      </w:r>
      <w:r>
        <w:rPr>
          <w:b/>
          <w:color w:val="1F7A33"/>
        </w:rPr>
        <w:t xml:space="preserve">확인됨</w:t>
      </w:r>
      <w:r>
        <w:t xml:space="preserve"> (유동비율의 수준과 2년 연속 하락 추세는 공시 수치에서 결정론적으로 파생된 사실입니다. 다만 하락의 원인이 구조적인지 일시적인지는 아래 판별 테스트로 가려야 합니다.)</w:t>
      </w:r>
    </w:p>
    <w:p>
      <w:pPr>
        <w:jc w:val="both"/>
      </w:pPr>
      <w:r>
        <w:rPr>
          <w:b/>
        </w:rPr>
        <w:t xml:space="preserve">판별 테스트 (이 리스크를 반증하거나 확정하는 방법)</w:t>
      </w:r>
    </w:p>
    <w:p>
      <w:pPr>
        <w:jc w:val="both"/>
      </w:pPr>
      <w:r>
        <w:t xml:space="preserve">1. </w:t>
      </w:r>
      <w:r>
        <w:rPr>
          <w:b/>
        </w:rPr>
        <w:t xml:space="preserve">단기차입 상환 스케줄 확인</w:t>
      </w:r>
      <w:r>
        <w:t xml:space="preserve"> — 향후 12개월 만기 도래액이 특정 분기에 집중되어 있는지. 분산되어 있다면 위험도는 낮아집니다.</w:t>
      </w:r>
    </w:p>
    <w:p>
      <w:pPr>
        <w:jc w:val="both"/>
      </w:pPr>
      <w:r>
        <w:t xml:space="preserve">2. </w:t>
      </w:r>
      <w:r>
        <w:rPr>
          <w:b/>
        </w:rPr>
        <w:t xml:space="preserve">미사용 여신한도(주석) 확인</w:t>
      </w:r>
      <w:r>
        <w:t xml:space="preserve"> — 확약된 미사용 한도가 유동부채-유동자산 갭을 덮는다면, 낮은 유동비율은 관리 가능한 상태로 재해석됩니다.</w:t>
      </w:r>
    </w:p>
    <w:p>
      <w:pPr>
        <w:jc w:val="both"/>
      </w:pPr>
      <w:r>
        <w:t xml:space="preserve">3. </w:t>
      </w:r>
      <w:r>
        <w:rPr>
          <w:b/>
        </w:rPr>
        <w:t xml:space="preserve">현금성자산 대비 단기부채 비율 점검</w:t>
      </w:r>
      <w:r>
        <w:t xml:space="preserve"> — 유동자산의 질(현금 vs 회수 불확실 자산) 구성이 관건입니다.</w:t>
      </w:r>
    </w:p>
    <w:p>
      <w:pPr>
        <w:jc w:val="both"/>
      </w:pPr>
      <w:r>
        <w:rPr>
          <w:b/>
          <w:color w:val="1B2A4A"/>
        </w:rPr>
        <w:t xml:space="preserve">권고 조치. </w:t>
      </w:r>
    </w:p>
    <w:p>
      <w:pPr>
        <w:pStyle w:val="ListParagraph"/>
        <w:numPr>
          <w:ilvl w:val="0"/>
          <w:numId w:val="1"/>
        </w:numPr>
        <w:jc w:val="both"/>
      </w:pPr>
      <w:r>
        <w:t xml:space="preserve">재무 담당 임원에게 </w:t>
      </w:r>
      <w:r>
        <w:rPr>
          <w:b/>
        </w:rPr>
        <w:t xml:space="preserve">12개월 만기 스케줄표와 미사용 여신한도 현황</w:t>
      </w:r>
      <w:r>
        <w:t xml:space="preserve">을 이번 주 내 보고받으십시오.</w:t>
      </w:r>
    </w:p>
    <w:p>
      <w:pPr>
        <w:pStyle w:val="ListParagraph"/>
        <w:numPr>
          <w:ilvl w:val="0"/>
          <w:numId w:val="1"/>
        </w:numPr>
        <w:jc w:val="both"/>
      </w:pPr>
      <w:r>
        <w:t xml:space="preserve">만기 집중 구간이 확인되면, 조달 여건이 유리한 지금(기준금리 동결 국면) 선제적으로 만기 분산·한도 확약을 협상하는 것이 사후 대응보다 비용이 낮습니다.</w:t>
      </w:r>
    </w:p>
    <w:p>
      <w:pPr>
        <w:pStyle w:val="ListParagraph"/>
        <w:numPr>
          <w:ilvl w:val="0"/>
          <w:numId w:val="1"/>
        </w:numPr>
        <w:jc w:val="both"/>
      </w:pPr>
      <w:r>
        <w:t xml:space="preserve">유동비율을 분기 단위 경영 대시보드 지표로 승격하고, 다음 분기에도 하락이 이어지는지 추적하십시오.</w:t>
      </w:r>
    </w:p>
    <w:p>
      <w:pPr>
        <w:pStyle w:val="Heading1"/>
      </w:pPr>
      <w:r>
        <w:rPr>
          <w:b/>
          <w:color w:val="1B2A4A"/>
        </w:rPr>
        <w:t xml:space="preserve">미발화 신호 요약 (리스크 아님 — 참고용 정성 서술)</w:t>
      </w:r>
    </w:p>
    <w:p>
      <w:pPr>
        <w:pBdr>
          <w:left w:val="single" w:sz="24" w:space="8" w:color="D04A02"/>
        </w:pBdr>
        <w:shd w:val="clear" w:color="auto" w:fill="FBF4EE"/>
        <w:spacing w:before="60" w:after="120" w:line="276" w:lineRule="auto"/>
        <w:ind w:left="284" w:right="284"/>
        <w:jc w:val="both"/>
      </w:pPr>
      <w:r>
        <w:t xml:space="preserve">다음 축은 이번 진단에서 </w:t>
      </w:r>
      <w:r>
        <w:rPr>
          <w:b/>
        </w:rPr>
        <w:t xml:space="preserve">임계값 미달로 미발화</w:t>
      </w:r>
      <w:r>
        <w:t xml:space="preserve">했습니다. 리스크로 승격하지 않되, 유동성 축과의 연관 관점에서 정기 모니터링 대상으로만 둡니다.</w:t>
      </w:r>
    </w:p>
    <w:p>
      <w:pPr>
        <w:pStyle w:val="ListParagraph"/>
        <w:numPr>
          <w:ilvl w:val="0"/>
          <w:numId w:val="1"/>
        </w:numPr>
        <w:shd w:val="clear" w:color="auto" w:fill="FBF4EE"/>
        <w:jc w:val="both"/>
      </w:pPr>
      <w:r>
        <w:rPr>
          <w:b/>
        </w:rPr>
        <w:t xml:space="preserve">수익-채권 괴리 (E1)</w:t>
      </w:r>
      <w:r>
        <w:t xml:space="preserve">: 매출과 채권 증가율의 격차가 임계값 미달로 미발화.</w:t>
      </w:r>
    </w:p>
    <w:p>
      <w:pPr>
        <w:pStyle w:val="ListParagraph"/>
        <w:numPr>
          <w:ilvl w:val="0"/>
          <w:numId w:val="1"/>
        </w:numPr>
        <w:shd w:val="clear" w:color="auto" w:fill="FBF4EE"/>
        <w:jc w:val="both"/>
      </w:pPr>
      <w:r>
        <w:rPr>
          <w:b/>
        </w:rPr>
        <w:t xml:space="preserve">재고 적체 (E2)</w:t>
      </w:r>
      <w:r>
        <w:t xml:space="preserve">: 재고는 오히려 감소 방향으로, 미발화.</w:t>
      </w:r>
    </w:p>
    <w:p>
      <w:pPr>
        <w:pStyle w:val="ListParagraph"/>
        <w:numPr>
          <w:ilvl w:val="0"/>
          <w:numId w:val="1"/>
        </w:numPr>
        <w:shd w:val="clear" w:color="auto" w:fill="FBF4EE"/>
        <w:jc w:val="both"/>
      </w:pPr>
      <w:r>
        <w:rPr>
          <w:b/>
        </w:rPr>
        <w:t xml:space="preserve">차입 확대·이자 부담 (E3)</w:t>
      </w:r>
      <w:r>
        <w:t xml:space="preserve">: 차입 규모 확대 기준으로는 미발화. 다만 이자보상 여력이 넉넉한 그림은 아니므로, 리스크 1의 판별 테스트(만기 구조 확인)에 함께 실어 점검하는 것이 효율적입니다.</w:t>
      </w:r>
    </w:p>
    <w:p>
      <w:pPr>
        <w:pStyle w:val="ListParagraph"/>
        <w:numPr>
          <w:ilvl w:val="0"/>
          <w:numId w:val="1"/>
        </w:numPr>
        <w:shd w:val="clear" w:color="auto" w:fill="FBF4EE"/>
        <w:jc w:val="both"/>
      </w:pPr>
      <w:r>
        <w:rPr>
          <w:b/>
        </w:rPr>
        <w:t xml:space="preserve">공시 행간 (E5)</w:t>
      </w:r>
      <w:r>
        <w:t xml:space="preserve">: 최근 90일 정정·해명 공시 패턴 없음 — 공시 커뮤니케이션 측면의 경고 신호는 관찰되지 않았습니다.</w:t>
      </w:r>
    </w:p>
    <w:p>
      <w:pPr>
        <w:pStyle w:val="ListParagraph"/>
        <w:numPr>
          <w:ilvl w:val="0"/>
          <w:numId w:val="1"/>
        </w:numPr>
        <w:shd w:val="clear" w:color="auto" w:fill="FBF4EE"/>
        <w:jc w:val="both"/>
      </w:pPr>
      <w:r>
        <w:rPr>
          <w:b/>
        </w:rPr>
        <w:t xml:space="preserve">발생액 품질 (E8)</w:t>
      </w:r>
      <w:r>
        <w:t xml:space="preserve">: 이익-현금 괴리 비율이 임계값 이내로 미발화.</w:t>
      </w:r>
    </w:p>
    <w:p>
      <w:pPr>
        <w:pStyle w:val="Heading1"/>
      </w:pPr>
      <w:r>
        <w:rPr>
          <w:b/>
          <w:color w:val="1B2A4A"/>
        </w:rPr>
        <w:t xml:space="preserve">확인 범위와 한계</w:t>
      </w:r>
    </w:p>
    <w:p>
      <w:pPr>
        <w:pStyle w:val="ListParagraph"/>
        <w:numPr>
          <w:ilvl w:val="0"/>
          <w:numId w:val="1"/>
        </w:numPr>
        <w:jc w:val="both"/>
      </w:pPr>
      <w:r>
        <w:t xml:space="preserve">본 브리핑은 DART 공시 재무제표(2025 연결)와 최근 90일 공시 이력, 한국은행 거시지표에서 </w:t>
      </w:r>
      <w:r>
        <w:rPr>
          <w:b/>
        </w:rPr>
        <w:t xml:space="preserve">결정론적으로 파생된 신호</w:t>
      </w:r>
      <w:r>
        <w:t xml:space="preserve">에 근거하며, 내부 회계 데이터(거래처 원장·원가 상세)는 제공되지 않아 내부 축(거래처 집중·원가 왜곡) 진단은 수행되지 않았습니다.</w:t>
      </w:r>
    </w:p>
    <w:p>
      <w:pPr>
        <w:pStyle w:val="ListParagraph"/>
        <w:numPr>
          <w:ilvl w:val="0"/>
          <w:numId w:val="1"/>
        </w:numPr>
        <w:jc w:val="both"/>
      </w:pPr>
      <w:r>
        <w:t xml:space="preserve">발화 신호(E4)는 회계 처리의 적정성에 대한 판단이 아니라, </w:t>
      </w:r>
      <w:r>
        <w:rPr>
          <w:b/>
        </w:rPr>
        <w:t xml:space="preserve">공시 수치의 패턴이 점검을 요구하는 수준에 도달했다</w:t>
      </w:r>
      <w:r>
        <w:t xml:space="preserve">는 신호입니다. 하락의 원인 규명과 확정 판단은 판별 테스트(만기 스케줄·여신한도·자산 구성 확인)를 거쳐야 합니다.</w:t>
      </w:r>
    </w:p>
    <w:p>
      <w:pPr>
        <w:pStyle w:val="ListParagraph"/>
        <w:numPr>
          <w:ilvl w:val="0"/>
          <w:numId w:val="1"/>
        </w:numPr>
        <w:jc w:val="both"/>
      </w:pPr>
      <w:r>
        <w:t xml:space="preserve">미발화 신호는 "문제 없음"의 보증이 아니라 "이번 임계값 기준으로 경보가 울리지 않았다"는 의미입니다. 임계값은 코스피 비금융 대형주 코호트 발화율로 보정된 값이며, 바이오 업종 특수성(연구개발 집중 원가 구조)은 별도 프리셋 없이 기본값으로 판정되었습니다.</w:t>
      </w:r>
    </w:p>
    <w:p>
      <w:pPr>
        <w:pStyle w:val="ListParagraph"/>
        <w:numPr>
          <w:ilvl w:val="0"/>
          <w:numId w:val="1"/>
        </w:numPr>
        <w:jc w:val="both"/>
      </w:pPr>
      <w:r>
        <w:t xml:space="preserve">뉴스·시장(주가) 축과 비정형 문서 축은 이번 진단 범위에 포함되지 않았습니다.</w:t>
      </w:r>
    </w:p>
    <w:sectPr>
      <w:headerReference w:type="default" r:id="rIdHeader"/>
      <w:footerReference w:type="default" r:id="rIdFooter"/>
      <w:pgSz w:w="11906" w:h="16838"/>
      <w:pgMar w:top="1418" w:right="1418" w:bottom="1418" w:left="1418" w:header="709" w:footer="709" w:gutter="0"/>
      <w:titlePg/>
    </w:sectPr>
  </w:body>
</w:document>
</file>

<file path=word/footer1.xml><?xml version="1.0" encoding="utf-8"?>
<w:ftr xmlns:w="http://schemas.openxmlformats.org/wordprocessingml/2006/main">
  <w:p>
    <w:pPr>
      <w:pBdr>
        <w:top w:val="single" w:sz="4" w:space="4" w:color="D9D9D9"/>
      </w:pBdr>
      <w:tabs>
        <w:tab w:val="right" w:pos="9070"/>
      </w:tabs>
      <w:spacing w:after="0"/>
    </w:pPr>
    <w:r>
      <w:rPr>
        <w:color w:val="A6A6A6"/>
        <w:sz w:val="16"/>
      </w:rPr>
      <w:t xml:space="preserve">Management risk briefing | Not investment advice</w:t>
    </w:r>
    <w:r>
      <w:rPr>
        <w:color w:val="A6A6A6"/>
        <w:sz w:val="16"/>
      </w:rPr>
      <w:tab/>
    </w:r>
    <w:r>
      <w:fldChar w:fldCharType="begin"/>
    </w:r>
    <w:r>
      <w:rPr>
        <w:color w:val="A6A6A6"/>
        <w:sz w:val="16"/>
      </w:rPr>
      <w:instrText xml:space="preserve"> PAGE </w:instrText>
    </w:r>
    <w:r>
      <w:fldChar w:fldCharType="end"/>
    </w:r>
  </w:p>
</w:ftr>
</file>

<file path=word/header1.xml><?xml version="1.0" encoding="utf-8"?>
<w:hdr xmlns:w="http://schemas.openxmlformats.org/wordprocessingml/2006/main">
  <w:p>
    <w:pPr>
      <w:pBdr>
        <w:bottom w:val="single" w:sz="4" w:space="4" w:color="D9D9D9"/>
      </w:pBdr>
      <w:tabs>
        <w:tab w:val="right" w:pos="9070"/>
      </w:tabs>
      <w:spacing w:after="0"/>
    </w:pPr>
    <w:r>
      <w:rPr>
        <w:color w:val="A6A6A6"/>
        <w:sz w:val="16"/>
      </w:rPr>
      <w:t xml:space="preserve">CEO Risk Briefing</w:t>
    </w:r>
    <w:r>
      <w:rPr>
        <w:color w:val="A6A6A6"/>
        <w:sz w:val="16"/>
      </w:rPr>
      <w:tab/>
    </w:r>
    <w:r>
      <w:rPr>
        <w:b/>
        <w:color w:val="D04A02"/>
        <w:sz w:val="16"/>
      </w:rPr>
      <w:t>Confidential</w:t>
    </w:r>
  </w:p>
</w:hdr>
</file>

<file path=word/numbering.xml><?xml version="1.0" encoding="utf-8"?>
<w:numbering xmlns:w="http://schemas.openxmlformats.org/wordprocessingml/2006/main">
  <w:abstractNum w:abstractNumId="0">
    <w:lvl w:ilvl="0">
      <w:numFmt w:val="bullet"/>
      <w:lvlText w:val="•"/>
      <w:pPr>
        <w:ind w:left="425" w:hanging="212"/>
      </w:pPr>
      <w:rPr>
        <w:color w:val="D04A02"/>
      </w:rPr>
    </w:lvl>
    <w:lvl w:ilvl="1">
      <w:numFmt w:val="bullet"/>
      <w:lvlText w:val="–"/>
      <w:pPr>
        <w:ind w:left="850" w:hanging="212"/>
      </w:pPr>
      <w:rPr>
        <w:color w:val="595959"/>
      </w:rPr>
    </w:lvl>
  </w:abstractNum>
  <w:num w:numId="1">
    <w:abstractNumId w:val="0"/>
  </w:num>
</w:numbering>
</file>

<file path=word/styles.xml><?xml version="1.0" encoding="utf-8"?>
<w:styles xmlns:w="http://schemas.openxmlformats.org/wordprocessingml/2006/main">
  <w:docDefaults>
    <w:rPrDefault>
      <w:rPr>
        <w:rFonts w:ascii="Malgun Gothic" w:eastAsia="Malgun Gothic" w:hAnsi="Malgun Gothic" w:cs="Malgun Gothic"/>
        <w:sz w:val="21"/>
        <w:szCs w:val="21"/>
        <w:lang w:val="ko-KR" w:eastAsia="ko-KR"/>
      </w:rPr>
    </w:rPrDefault>
    <w:pPrDefault>
      <w:pPr>
        <w:spacing w:after="140" w:line="276" w:lineRule="auto"/>
      </w:pPr>
    </w:pPrDefault>
  </w:docDefaults>
  <w:style w:type="paragraph" w:default="1" w:styleId="Normal">
    <w:name w:val="Normal"/>
  </w:style>
  <w:style w:type="paragraph" w:styleId="Heading1">
    <w:name w:val="heading 1"/>
    <w:basedOn w:val="Normal"/>
    <w:pPr>
      <w:keepNext/>
      <w:spacing w:before="400" w:after="160"/>
      <w:pBdr>
        <w:bottom w:val="single" w:sz="8" w:space="4" w:color="D04A02"/>
      </w:pBdr>
      <w:outlineLvl w:val="0"/>
    </w:pPr>
    <w:rPr>
      <w:b/>
      <w:color w:val="1B2A4A"/>
      <w:sz w:val="27"/>
      <w:szCs w:val="27"/>
    </w:rPr>
  </w:style>
  <w:style w:type="paragraph" w:styleId="Heading2">
    <w:name w:val="heading 2"/>
    <w:basedOn w:val="Normal"/>
    <w:pPr>
      <w:keepNext/>
      <w:spacing w:before="280" w:after="120"/>
      <w:outlineLvl w:val="1"/>
    </w:pPr>
    <w:rPr>
      <w:b/>
      <w:color w:val="1B2A4A"/>
      <w:sz w:val="23"/>
      <w:szCs w:val="23"/>
    </w:rPr>
  </w:style>
  <w:style w:type="paragraph" w:styleId="ListParagraph">
    <w:name w:val="List Paragraph"/>
    <w:basedOn w:val="Normal"/>
    <w:pPr>
      <w:spacing w:after="80"/>
      <w:ind w:left="425"/>
    </w:pPr>
  </w:style>
  <w:style w:type="character" w:styleId="Hyperlink">
    <w:name w:val="Hyperlink"/>
    <w:rPr>
      <w:color w:val="1155CC"/>
      <w:u w:val="single"/>
    </w:rPr>
  </w:style>
  <w:style w:type="table" w:styleId="TableGrid">
    <w:name w:val="Table Grid"/>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Header" Type="http://schemas.openxmlformats.org/officeDocument/2006/relationships/header" Target="header1.xml"/>
<Relationship Id="rIdFooter" Type="http://schemas.openxmlformats.org/officeDocument/2006/relationships/footer" Target="footer1.xml"/>
<Relationship Id="rIdSnapshot" Type="http://schemas.openxmlformats.org/officeDocument/2006/relationships/image" Target="media/executive-summary.png"/>

</Relationships>
</file>

<file path=docProps/app.xml><?xml version="1.0" encoding="utf-8"?>
<Properties xmlns="http://schemas.openxmlformats.org/officeDocument/2006/extended-properties">
  <Application>trusted-ceo-agent</Application>
</Properties>
</file>

<file path=docProps/core.xml><?xml version="1.0" encoding="utf-8"?>
<cp:coreProperties xmlns:cp="http://schemas.openxmlformats.org/package/2006/metadata/core-properties" xmlns:dc="http://purl.org/dc/elements/1.1/" xmlns:dcterms="http://purl.org/dc/terms/" xmlns:xsi="http://www.w3.org/2001/XMLSchema-instance">
  <dc:title>CEO 서명용 경영리스크 브리핑 — (주)바이오톡스텍</dc:title>
  <dc:creator>Trusted CEO Agent</dc:creator>
  <cp:lastModifiedBy>Trusted CEO Agent</cp:lastModifiedBy>
  <dcterms:created xsi:type="dcterms:W3CDTF">2026-07-14T00:00:00Z</dcterms:created>
  <dcterms:modified xsi:type="dcterms:W3CDTF">2026-07-14T00:00:00Z</dcterms:modified>
</cp:coreProperties>
</file>