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삼성SDI(주)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대상 기업  </w:t>
      </w:r>
      <w:r>
        <w:rPr>
          <w:color w:val="595959"/>
          <w:sz w:val="20"/>
          <w:szCs w:val="20"/>
        </w:rPr>
        <w:t xml:space="preserve">삼성SDI(주) (종목코드 006400 · 대표이사 최주선 · 사업자등록번호 124-81-31282)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진단 기준  </w:t>
      </w:r>
      <w:r>
        <w:rPr>
          <w:color w:val="595959"/>
          <w:sz w:val="20"/>
          <w:szCs w:val="20"/>
        </w:rPr>
        <w:t xml:space="preserve">FY2025 연결재무제표(CFS) · 공시 관측창 90일 · 거시지표 한국은행 기준금리 2.5%(변동 0%p, 관측구간)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요약  </w:t>
      </w:r>
      <w:r>
        <w:rPr>
          <w:color w:val="595959"/>
          <w:sz w:val="20"/>
          <w:szCs w:val="20"/>
        </w:rPr>
        <w:t xml:space="preserve">결정론 신호 6종 중 </w:t>
      </w:r>
      <w:r>
        <w:rPr>
          <w:b/>
          <w:color w:val="595959"/>
          <w:sz w:val="20"/>
          <w:szCs w:val="20"/>
        </w:rPr>
        <w:t xml:space="preserve">2종(재고 적체·유동성 하락)이 임계값을 초과해 발화</w:t>
      </w:r>
      <w:r>
        <w:rPr>
          <w:color w:val="595959"/>
          <w:sz w:val="20"/>
          <w:szCs w:val="20"/>
        </w:rPr>
        <w:t xml:space="preserve">했습니다. 두 신호는 모두 "매출은 줄었는데 자산·부채 구조가 그 속도를 따라오지 못하는" 동일한 국면을 가리킵니다. 나머지 4종(수익-채권 괴리·차입 부담·공시 행간·발생액 품질)은 임계값 미달로 미발화했습니다.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리스크 1 — 재고자산 적체 (매출 역성장 대비 재고 미소진) 〔E2〕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결론. </w:t>
      </w:r>
      <w:r>
        <w:t xml:space="preserve">매출이 두 자릿수로 감소하는 국면에서 재고자산이 소진되지 않고 정체돼, 매출 대비 재고 부담이 확대된 신호가 확인됩니다.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근거(수치·출처)</w:t>
      </w:r>
      <w:r>
        <w:t xml:space="preserve">: FY2025 연결재무제표 기준 매출 성장률 </w:t>
      </w:r>
      <w:r>
        <w:rPr>
          <w:b/>
        </w:rPr>
        <w:t xml:space="preserve">-20%</w:t>
      </w:r>
      <w:r>
        <w:t xml:space="preserve">, 재고자산 성장률 </w:t>
      </w:r>
      <w:r>
        <w:rPr>
          <w:b/>
        </w:rPr>
        <w:t xml:space="preserve">+2%</w:t>
      </w:r>
      <w:r>
        <w:t xml:space="preserve">, 두 지표의 격차 </w:t>
      </w:r>
      <w:r>
        <w:rPr>
          <w:b/>
        </w:rPr>
        <w:t xml:space="preserve">22%p</w:t>
      </w:r>
      <w:r>
        <w:t xml:space="preserve">(임계값 15%p 초과). 재고자산 규모는 </w:t>
      </w:r>
      <w:r>
        <w:rPr>
          <w:b/>
        </w:rPr>
        <w:t xml:space="preserve">2.9→2.9조원</w:t>
      </w:r>
      <w:r>
        <w:t xml:space="preserve">으로 절대 수준은 유지. (출처: DART 재무제표 파생계산)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왜 문제인가(인과 사슬)</w:t>
      </w:r>
      <w:r>
        <w:t xml:space="preserve">: 판매가 줄어드는데 재고가 같은 속도로 빠지지 않으면, 팔리지 않은 물량이 창고에 남습니다. 배터리·소재 특성상 시간이 지날수록 진부화·평가손실 위험이 커지고, 이는 다음 분기 이후 원가율을 밀어 올려 이익을 잠식하는 경로로 이어질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(수치 격차는 확인됨. 다만 "적체"인지 "전략적 선재고"인지는 재고 구성·평가손실 주석 확인 전까지 단정 불가)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재고자산 평가손실 충당 추이(주석) — 적체라면 충당률이 함께 오릅니다.</w:t>
      </w:r>
    </w:p>
    <w:p>
      <w:pPr>
        <w:jc w:val="both"/>
      </w:pPr>
      <w:r>
        <w:t xml:space="preserve">2. 제품/재공품/원재료 구성 변화 — 원재료 편중이면 조달 선행, 제품 편중이면 판매 부진 신호.</w:t>
      </w:r>
    </w:p>
    <w:p>
      <w:pPr>
        <w:jc w:val="both"/>
      </w:pPr>
      <w:r>
        <w:t xml:space="preserve">3. 재고자산회전율 추이 — 회전율 저하가 동반되는지 확인.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사업부별 재고 연령분석(aging)을 다음 이사회 전 확보하고, 진부화 위험 SKU에 대한 소진·평가손실 반영 계획을 재무팀에 지시하실 것을 권고합니다.</w:t>
      </w:r>
    </w:p>
    <w:p>
      <w:pPr>
        <w:pStyle w:val="Heading1"/>
      </w:pPr>
      <w:r>
        <w:rPr>
          <w:b/>
          <w:color w:val="1B2A4A"/>
        </w:rPr>
        <w:t xml:space="preserve">리스크 2 — 유동성 하락 (유동비율 2년 연속 하락) 〔E4〕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결론. </w:t>
      </w:r>
      <w:r>
        <w:t xml:space="preserve">단기 지급능력을 나타내는 유동비율이 2년 연속 하락해 100% 아래로 내려온 것이 확인됩니다.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근거(수치·출처)</w:t>
      </w:r>
      <w:r>
        <w:t xml:space="preserve">: 유동비율 </w:t>
      </w:r>
      <w:r>
        <w:rPr>
          <w:b/>
        </w:rPr>
        <w:t xml:space="preserve">107.8→95.2→89.2%</w:t>
      </w:r>
      <w:r>
        <w:t xml:space="preserve">로 2년 연속 하락(임계값 100% 하회). (출처: DART 재무제표 파생계산)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왜 문제인가(인과 사슬)</w:t>
      </w:r>
      <w:r>
        <w:t xml:space="preserve">: 유동비율이 100%를 밑돈다는 것은 1년 내 갚아야 할 부채가 1년 내 현금화 가능한 자산을 넘어섰다는 의미입니다. 추세가 한 해가 아니라 연속으로 꺾였다는 점은 일시적 계절 요인보다 구조적 운전자본 압박일 가능성을 키우며, 차환·단기상환 시점에 자금조달 비용과 협상력이 불리해지는 경로로 이어질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(하락 추세·수준은 결정론 파생값. 다만 유동성 "위기 임박" 여부는 여신한도·현금흐름 확인 전까지 가설)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단기차입 상환 스케줄 — 만기 집중 여부.</w:t>
      </w:r>
    </w:p>
    <w:p>
      <w:pPr>
        <w:jc w:val="both"/>
      </w:pPr>
      <w:r>
        <w:t xml:space="preserve">2. 미사용 여신한도(주석) — 실질 가용 유동성이 유동비율을 보완하는지.</w:t>
      </w:r>
    </w:p>
    <w:p>
      <w:pPr>
        <w:jc w:val="both"/>
      </w:pPr>
      <w:r>
        <w:t xml:space="preserve">3. 현금성자산 대비 단기부채 — 회계상 비율과 실제 현금 완충의 괴리 확인.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향후 12개월 만기 도래 부채와 미사용 여신한도를 한 장으로 대조한 유동성 브릿지 표를 재무팀에 요청하시고, 필요 시 만기 분산·장기 전환 조달을 선제 검토하실 것을 권고합니다.</w:t>
      </w:r>
    </w:p>
    <w:p>
      <w:pPr>
        <w:pStyle w:val="Heading1"/>
      </w:pPr>
      <w:r>
        <w:rPr>
          <w:b/>
          <w:color w:val="1B2A4A"/>
        </w:rPr>
        <w:t xml:space="preserve">미발화 신호 (임계값 미달 — 참고)</w:t>
      </w:r>
    </w:p>
    <w:p>
      <w:pPr>
        <w:jc w:val="both"/>
      </w:pPr>
      <w:r>
        <w:t xml:space="preserve">아래 신호들은 이번 진단에서 임계값에 도달하지 않아 </w:t>
      </w:r>
      <w:r>
        <w:rPr>
          <w:b/>
        </w:rPr>
        <w:t xml:space="preserve">리스크로 승격하지 않았습니다</w:t>
      </w:r>
      <w:r>
        <w:t xml:space="preserve">. 근거 수치는 서명 판단에 필요치 않아 생략합니다.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수익-채권 괴리(E1)</w:t>
      </w:r>
      <w:r>
        <w:t xml:space="preserve">: 매출채권이 매출 감소와 같은 방향으로 움직여 조기 인식·현금화 저조 신호는 나타나지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차입 확대·이자 부담(E3)</w:t>
      </w:r>
      <w:r>
        <w:t xml:space="preserve">: 차입금 규모는 오히려 소폭 축소돼 차입 급증 신호는 미발화했습니다. (다만 이자보상 관련 지표는 리스크 1·2 점검 시 함께 확인 권장)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공시 행간(E5)</w:t>
      </w:r>
      <w:r>
        <w:t xml:space="preserve">: 관측창 내 정정·해명 공시 패턴이 감지되지 않아 공시 프로세스 이상 신호는 없습니다.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발생액 품질(E8)</w:t>
      </w:r>
      <w:r>
        <w:t xml:space="preserve">: 이익과 영업현금흐름의 지속 괴리 신호는 임계값 미달로 발화하지 않았습니다.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</w:t>
      </w:r>
      <w:r>
        <w:rPr>
          <w:b/>
        </w:rPr>
        <w:t xml:space="preserve">DART 연결재무제표(FY2025) + 거시지표(기준금리)</w:t>
      </w:r>
      <w:r>
        <w:t xml:space="preserve"> 의 결정론 파생 신호에 근거합니다. 내부 CSV(거래처 집중·원가 구조), 뉴스·시장·문서 축은 이번 진단에 </w:t>
      </w:r>
      <w:r>
        <w:rPr>
          <w:b/>
        </w:rPr>
        <w:t xml:space="preserve">미포함</w:t>
      </w:r>
      <w:r>
        <w:t xml:space="preserve">(`--data-dir`·`--with-news`·`--with-market` 미제공)이라, 해당 관점의 리스크는 평가되지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 신호(재고·유동성)의 </w:t>
      </w:r>
      <w:r>
        <w:rPr>
          <w:b/>
        </w:rPr>
        <w:t xml:space="preserve">수치 자체는 확정값</w:t>
      </w:r>
      <w:r>
        <w:t xml:space="preserve">이나, 그 원인이 경영 리스크인지 정상 사업 국면인지는 위 판별 테스트로 반증·확정해야 합니다. 본 문서는 원인을 단정하지 않습니다.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유동비율·재고는 연말 기준 스냅샷 값으로, 분기 중 변동을 반영하지 못합니다. 분기보고서로 시점을 좁히면 해석 정밀도가 올라갑니다.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미발화 신호는 "현재 임계값 기준 무징후"일 뿐 향후 안전을 보장하지 않으며, 다음 분기 실측으로 재평가가 필요합니다.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삼성SDI(주)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