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씨에스베어링 주식회사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씨에스베어링 주식회사 (대표이사 김창헌, 종목코드 297090, 사업자등록번호 606-86-06640)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기준</w:t>
      </w:r>
      <w:r>
        <w:t xml:space="preserve">: 2025 사업연도 연결재무제표(CFS), 공시 관찰 창 최근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여건</w:t>
      </w:r>
      <w:r>
        <w:t xml:space="preserve">: 한국은행 기준금리 2.5% (2026-07-12 기준, 관찰 기간 내 변동 없음 — 출처: ECOS)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결과 요약</w:t>
      </w:r>
      <w:r>
        <w:t xml:space="preserve">: 외부 공시·거시 데이터에서 파생한 결정론 신호 6종(E1 수익-채권 괴리, E2 재고 적체, E3 차입·이자 부담, E4 유동성 하락, E5 공시 행간, E8 발생액 품질) 전부 </w:t>
      </w:r>
      <w:r>
        <w:rPr>
          <w:b/>
        </w:rPr>
        <w:t xml:space="preserve">미발화</w:t>
      </w:r>
      <w:r>
        <w:t xml:space="preserve">. 서명이 필요한 신규 경영리스크는 이번 진단에서 식별되지 않았습니다.</w:t>
      </w:r>
    </w:p>
    <w:p>
      <w:pPr>
        <w:pStyle w:val="Heading1"/>
      </w:pPr>
      <w:r>
        <w:rPr>
          <w:b/>
          <w:color w:val="1B2A4A"/>
        </w:rPr>
        <w:t xml:space="preserve">1. 식별된 리스크</w:t>
      </w:r>
    </w:p>
    <w:p>
      <w:pPr>
        <w:jc w:val="both"/>
      </w:pPr>
      <w:r>
        <w:rPr>
          <w:b/>
        </w:rPr>
        <w:t xml:space="preserve">이번 진단 창에서 PRESENT(발화) 신호는 0건입니다.</w:t>
      </w:r>
    </w:p>
    <w:p>
      <w:pPr>
        <w:jc w:val="both"/>
      </w:pPr>
      <w:r>
        <w:t xml:space="preserve">수익-채권 괴리(E1), 재고 자산 적체(E2), 차입 확대·이자 부담(E3), 유동성 하락(E4), 공시 정정·해명 패턴(E5), 발생액 품질(E8) 여섯 축 모두 평가 가능(evaluable) 상태에서 임계값 미달로 미발화했습니다. 특히 유동성·재고·공시 행간 축은 임계 기준에서 여유 있게 벗어나 있으며, 이익의 현금화 관련 축(E1·E8)도 발화 기준선 아래에 머물러 있습니다.</w:t>
      </w:r>
    </w:p>
    <w:p>
      <w:pPr>
        <w:jc w:val="both"/>
      </w:pPr>
      <w:r>
        <w:t xml:space="preserve">이는 "리스크 없음의 증명"이 아니라 "본 프레임워크의 임계값을 넘는 이상 패턴이 공시 데이터에서 관찰되지 않음"을 의미합니다.</w:t>
      </w:r>
    </w:p>
    <w:p>
      <w:pPr>
        <w:pStyle w:val="Heading1"/>
      </w:pPr>
      <w:r>
        <w:rPr>
          <w:b/>
          <w:color w:val="1B2A4A"/>
        </w:rPr>
        <w:t xml:space="preserve">2. 서명 전 권고 확인 사항 (리스크 아님 — 정기 점검 성격)</w:t>
      </w:r>
    </w:p>
    <w:p>
      <w:pPr>
        <w:jc w:val="both"/>
      </w:pPr>
      <w:r>
        <w:t xml:space="preserve">발화 신호가 없으므로 아래는 시정 조치가 아니라, 다음 분기 진단까지의 관찰 유지 항목입니다.</w:t>
      </w:r>
    </w:p>
    <w:p>
      <w:pPr>
        <w:jc w:val="both"/>
      </w:pPr>
      <w:r>
        <w:t xml:space="preserve">1. </w:t>
      </w:r>
      <w:r>
        <w:rPr>
          <w:b/>
        </w:rPr>
        <w:t xml:space="preserve">이익의 현금 뒷받침 추적</w:t>
      </w:r>
      <w:r>
        <w:t xml:space="preserve">: 발생액 품질 축은 미발화이나 전기 대비 방향성 관찰이 필요한 영역입니다. 차기 분기보고서의 영업현금흐름 실측으로 이익-현금 정합을 재확인하십시오(발생액이 정상 회수되면 문제없음이 스스로 입증됩니다).</w:t>
      </w:r>
    </w:p>
    <w:p>
      <w:pPr>
        <w:jc w:val="both"/>
      </w:pPr>
      <w:r>
        <w:t xml:space="preserve">2. </w:t>
      </w:r>
      <w:r>
        <w:rPr>
          <w:b/>
        </w:rPr>
        <w:t xml:space="preserve">매출 성장 국면의 채권 관리</w:t>
      </w:r>
      <w:r>
        <w:t xml:space="preserve">: 성장 국면에서는 채권 증가가 매출 증가를 추월하는 순간이 리스크의 시작점입니다. 대손충당금 설정률과 채권 연령 분석(주석)을 분기 단위로 유지 점검하십시오.</w:t>
      </w:r>
    </w:p>
    <w:p>
      <w:pPr>
        <w:jc w:val="both"/>
      </w:pPr>
      <w:r>
        <w:t xml:space="preserve">3. </w:t>
      </w:r>
      <w:r>
        <w:rPr>
          <w:b/>
        </w:rPr>
        <w:t xml:space="preserve">차입 만기 구조 확인</w:t>
      </w:r>
      <w:r>
        <w:t xml:space="preserve">: 차입 축은 미발화이나, 기준금리 2.5% 환경에서 만기 집중·변동금리 비중은 공시 수치만으로 보이지 않습니다. 차입금 만기 구조와 약정(covenant) 조건을 내부에서 한 번 대조해 두시길 권고합니다.</w:t>
      </w:r>
    </w:p>
    <w:p>
      <w:pPr>
        <w:pStyle w:val="Heading1"/>
      </w:pPr>
      <w:r>
        <w:rPr>
          <w:b/>
          <w:color w:val="1B2A4A"/>
        </w:rPr>
        <w:t xml:space="preserve">3. 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데이터 범위</w:t>
      </w:r>
      <w:r>
        <w:t xml:space="preserve">: 본 진단은 DART 공시(2025 CFS)와 ECOS 거시지표만으로 수행한 </w:t>
      </w:r>
      <w:r>
        <w:rPr>
          <w:b/>
        </w:rPr>
        <w:t xml:space="preserve">기본 모드</w:t>
      </w:r>
      <w:r>
        <w:t xml:space="preserve">입니다. 내부 CSV(거래처 집중·원가 왜곡 등 내부 축 S1~S4), 뉴스·평판 축, 시장 축(E6·E7), 비정형 문서 축(D1)은 이번 진단에 포함되지 않았으며, 해당 영역의 리스크 존부는 판단하지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방법의 한계</w:t>
      </w:r>
      <w:r>
        <w:t xml:space="preserve">: 신호는 공시 수치에서 결정론으로 파생한 임계값 판정입니다. 임계값 미달이 리스크 부재를 보장하지 않으며, 공시에 반영되지 않은 계약·소송·거래처 변동은 포착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시점의 한계</w:t>
      </w:r>
      <w:r>
        <w:t xml:space="preserve">: 공시 관찰 창은 최근 90일(해당 기간 공시 3건, 정정·해명 없음)이며, 재무 수치는 2025 사업연도 기준입니다. 진단 시점(2026-07) 이후 발생한 변화는 반영되지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표현의 한계</w:t>
      </w:r>
      <w:r>
        <w:t xml:space="preserve">: 본 브리핑의 모든 판단은 확률적 신호 해석이며 회계 감사·법률 자문을 대체하지 않습니다.</w:t>
      </w:r>
    </w:p>
    <w:p>
      <w:pPr>
        <w:jc w:val="both"/>
      </w:pPr>
      <w:r>
        <w:t xml:space="preserve">*본 브리핑은 trusted-ceo-agent 진단 프레임워크의 결정론 신호 패킷(외부 신호 6종 평가, 발화 0건)에 기반해 작성되었습니다.*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씨에스베어링 주식회사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