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(주)우리넷</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 매출 축소 속도를 재고가 따라가지 못하고 있습니다 (E2)</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이번 분기 내 생산·구매 계획을 현재 매출 눈높이로 재조정하고, 장기 체류 재고의 처분(할인 판매·반품 협의) 기준을 명문화하십시오.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김광수 대표이사 (단독대표)</w:t>
      </w:r>
    </w:p>
    <w:p>
      <w:pPr>
        <w:pStyle w:val="ListParagraph"/>
        <w:numPr>
          <w:ilvl w:val="0"/>
          <w:numId w:val="1"/>
        </w:numPr>
        <w:jc w:val="both"/>
      </w:pPr>
      <w:r>
        <w:rPr>
          <w:b/>
        </w:rPr>
        <w:t xml:space="preserve">대상 기업</w:t>
      </w:r>
      <w:r>
        <w:t xml:space="preserve">: (주)우리넷 (종목코드 115440, 사업자등록번호 124-81-68611)</w:t>
      </w:r>
    </w:p>
    <w:p>
      <w:pPr>
        <w:pStyle w:val="ListParagraph"/>
        <w:numPr>
          <w:ilvl w:val="0"/>
          <w:numId w:val="1"/>
        </w:numPr>
        <w:jc w:val="both"/>
      </w:pPr>
      <w:r>
        <w:rPr>
          <w:b/>
        </w:rPr>
        <w:t xml:space="preserve">분석 기준</w:t>
      </w:r>
      <w:r>
        <w:t xml:space="preserve">: 2025 사업연도 연결재무제표(CFS), DART 공시 + 한국은행 거시지표 (기준금리 2.5%, 2026-07-12 기준)</w:t>
      </w:r>
    </w:p>
    <w:p>
      <w:pPr>
        <w:pStyle w:val="ListParagraph"/>
        <w:numPr>
          <w:ilvl w:val="0"/>
          <w:numId w:val="1"/>
        </w:numPr>
        <w:jc w:val="both"/>
      </w:pPr>
      <w:r>
        <w:rPr>
          <w:b/>
        </w:rPr>
        <w:t xml:space="preserve">발화 신호</w:t>
      </w:r>
      <w:r>
        <w:t xml:space="preserve">: 외부 신호 1건 (E2)</w:t>
      </w:r>
    </w:p>
    <w:p>
      <w:pPr>
        <w:pStyle w:val="Heading1"/>
      </w:pPr>
      <w:r>
        <w:rPr>
          <w:b/>
          <w:color w:val="1B2A4A"/>
        </w:rPr>
        <w:t xml:space="preserve">리스크 1. 재고 자산 적체 — 매출 축소 속도를 재고가 따라가지 못하고 있습니다 (E2)</w:t>
      </w:r>
    </w:p>
    <w:p>
      <w:pPr>
        <w:jc w:val="both"/>
      </w:pPr>
      <w:r>
        <w:rPr>
          <w:b/>
          <w:color w:val="1B2A4A"/>
        </w:rPr>
        <w:t xml:space="preserve">결론. </w:t>
      </w:r>
    </w:p>
    <w:p>
      <w:pPr>
        <w:jc w:val="both"/>
      </w:pPr>
      <w:r>
        <w:t xml:space="preserve">매출이 큰 폭으로 줄어드는 동안 재고 감축이 그 속도를 따라가지 못해, 매출 규모 대비 재고 부담이 상대적으로 커지고 있습니다.</w:t>
      </w:r>
    </w:p>
    <w:p>
      <w:pPr>
        <w:jc w:val="both"/>
      </w:pPr>
      <w:r>
        <w:rPr>
          <w:b/>
        </w:rPr>
        <w:t xml:space="preserve">근거 (수치 + 출처)</w:t>
      </w:r>
    </w:p>
    <w:p>
      <w:pPr>
        <w:pStyle w:val="ListParagraph"/>
        <w:numPr>
          <w:ilvl w:val="0"/>
          <w:numId w:val="1"/>
        </w:numPr>
        <w:jc w:val="both"/>
      </w:pPr>
      <w:r>
        <w:t xml:space="preserve">매출액 증가율: </w:t>
      </w:r>
      <w:r>
        <w:rPr>
          <w:b/>
        </w:rPr>
        <w:t xml:space="preserve">-42.6%</w:t>
      </w:r>
      <w:r>
        <w:t xml:space="preserve"> (DART 공시 재무제표, 전기 대비)</w:t>
      </w:r>
    </w:p>
    <w:p>
      <w:pPr>
        <w:pStyle w:val="ListParagraph"/>
        <w:numPr>
          <w:ilvl w:val="0"/>
          <w:numId w:val="1"/>
        </w:numPr>
        <w:jc w:val="both"/>
      </w:pPr>
      <w:r>
        <w:t xml:space="preserve">재고자산 증가율: </w:t>
      </w:r>
      <w:r>
        <w:rPr>
          <w:b/>
        </w:rPr>
        <w:t xml:space="preserve">-18.3%</w:t>
      </w:r>
      <w:r>
        <w:t xml:space="preserve"> (DART 공시 재무제표, 전기 대비)</w:t>
      </w:r>
    </w:p>
    <w:p>
      <w:pPr>
        <w:pStyle w:val="ListParagraph"/>
        <w:numPr>
          <w:ilvl w:val="0"/>
          <w:numId w:val="1"/>
        </w:numPr>
        <w:jc w:val="both"/>
      </w:pPr>
      <w:r>
        <w:t xml:space="preserve">두 증가율의 괴리: </w:t>
      </w:r>
      <w:r>
        <w:rPr>
          <w:b/>
        </w:rPr>
        <w:t xml:space="preserve">24.3%p</w:t>
      </w:r>
      <w:r>
        <w:t xml:space="preserve"> — 임계값 15%p 초과로 발화</w:t>
      </w:r>
    </w:p>
    <w:p>
      <w:pPr>
        <w:jc w:val="both"/>
      </w:pPr>
      <w:r>
        <w:rPr>
          <w:b/>
        </w:rPr>
        <w:t xml:space="preserve">왜 문제인가 (인과 사슬)</w:t>
      </w:r>
    </w:p>
    <w:p>
      <w:pPr>
        <w:jc w:val="both"/>
      </w:pPr>
      <w:r>
        <w:t xml:space="preserve">매출이 절반 가까이 줄었다는 것은 제품이 시장에서 소화되는 속도가 급격히 느려졌다는 뜻입니다. 그런데 재고는 그보다 훨씬 완만하게만 줄었으므로, 팔리는 속도 대비 창고에 머무는 재고의 체류 기간이 길어지고 있습니다. 재고 체류가 길어지면 통신장비 업종 특성상 기술 세대교체에 따른 진부화 위험에 노출되고, 이는 평가손실 인식 → 이익 훼손 → 운전자본에 묶인 현금의 회수 지연으로 이어질 수 있습니다. 특히 매출 축소 국면에서는 생산·구매 계획이 과거 매출 눈높이에 맞춰져 있을 가능성이 있어, 조정이 늦어질수록 부담이 누적됩니다.</w:t>
      </w:r>
    </w:p>
    <w:p>
      <w:pPr>
        <w:jc w:val="both"/>
      </w:pPr>
      <w:r>
        <w:rPr>
          <w:b/>
          <w:color w:val="1B2A4A"/>
        </w:rPr>
        <w:t xml:space="preserve">확신도. </w:t>
      </w:r>
      <w:r>
        <w:rPr>
          <w:b/>
          <w:color w:val="B45309"/>
        </w:rPr>
        <w:t xml:space="preserve">가설</w:t>
      </w:r>
    </w:p>
    <w:p>
      <w:pPr>
        <w:jc w:val="both"/>
      </w:pPr>
      <w:r>
        <w:t xml:space="preserve">(재고의 절대 규모 자체도 감소 중이므로, 이 신호는 "적체 확정"이 아니라 "감축 속도가 매출 축소를 따라가지 못한다"는 점검 신호로 해석하는 것이 타당합니다.)</w:t>
      </w:r>
    </w:p>
    <w:p>
      <w:pPr>
        <w:jc w:val="both"/>
      </w:pPr>
      <w:r>
        <w:rPr>
          <w:b/>
        </w:rPr>
        <w:t xml:space="preserve">판별 테스트 (이 가설을 확인하거나 기각하는 방법)</w:t>
      </w:r>
    </w:p>
    <w:p>
      <w:pPr>
        <w:jc w:val="both"/>
      </w:pPr>
      <w:r>
        <w:t xml:space="preserve">1. 감사보고서 주석의 </w:t>
      </w:r>
      <w:r>
        <w:rPr>
          <w:b/>
        </w:rPr>
        <w:t xml:space="preserve">재고자산 평가손실(평가충당금) 설정 내역</w:t>
      </w:r>
      <w:r>
        <w:t xml:space="preserve"> 확인 — 평가손실이 이미 늘고 있다면 진부화 위험이 현실화 중, 없다면 일시 괴리 가능성.</w:t>
      </w:r>
    </w:p>
    <w:p>
      <w:pPr>
        <w:jc w:val="both"/>
      </w:pPr>
      <w:r>
        <w:t xml:space="preserve">2. 재고 구성(제품/재공품/원재료) 변화 확인 — 완제품 비중이 커지고 있다면 판매 부진형 적체, 원재료 중심이면 조달 계획 이슈.</w:t>
      </w:r>
    </w:p>
    <w:p>
      <w:pPr>
        <w:jc w:val="both"/>
      </w:pPr>
      <w:r>
        <w:t xml:space="preserve">3. 재고자산회전율 추이를 분기 단위로 재계산 — 차기 분기에 회전율이 회복되면 가설 기각.</w:t>
      </w:r>
    </w:p>
    <w:p>
      <w:pPr>
        <w:jc w:val="both"/>
      </w:pPr>
      <w:r>
        <w:rPr>
          <w:b/>
          <w:color w:val="1B2A4A"/>
        </w:rPr>
        <w:t xml:space="preserve">권고 조치. </w:t>
      </w:r>
    </w:p>
    <w:p>
      <w:pPr>
        <w:pStyle w:val="ListParagraph"/>
        <w:numPr>
          <w:ilvl w:val="0"/>
          <w:numId w:val="1"/>
        </w:numPr>
        <w:jc w:val="both"/>
      </w:pPr>
      <w:r>
        <w:t xml:space="preserve">이번 분기 내 생산·구매 계획을 현재 매출 눈높이로 재조정하고, 장기 체류 재고의 처분(할인 판매·반품 협의) 기준을 명문화하십시오.</w:t>
      </w:r>
    </w:p>
    <w:p>
      <w:pPr>
        <w:pStyle w:val="ListParagraph"/>
        <w:numPr>
          <w:ilvl w:val="0"/>
          <w:numId w:val="1"/>
        </w:numPr>
        <w:jc w:val="both"/>
      </w:pPr>
      <w:r>
        <w:t xml:space="preserve">감사인과 재고자산 평가손실 인식 기준을 사전에 정렬해, 기말에 일시 반영되는 서프라이즈를 방지하십시오.</w:t>
      </w:r>
    </w:p>
    <w:p>
      <w:pPr>
        <w:pStyle w:val="Heading1"/>
      </w:pPr>
      <w:r>
        <w:rPr>
          <w:b/>
          <w:color w:val="1B2A4A"/>
        </w:rPr>
        <w:t xml:space="preserve">미발화 신호 요약 (리스크 아님)</w:t>
      </w:r>
    </w:p>
    <w:p>
      <w:pPr>
        <w:pBdr>
          <w:left w:val="single" w:sz="24" w:space="8" w:color="D04A02"/>
        </w:pBdr>
        <w:shd w:val="clear" w:color="auto" w:fill="FBF4EE"/>
        <w:spacing w:before="60" w:after="120" w:line="276" w:lineRule="auto"/>
        <w:ind w:left="284" w:right="284"/>
        <w:jc w:val="both"/>
      </w:pPr>
      <w:r>
        <w:t xml:space="preserve">아래 축들은 모두 점검했으나 임계값 미달로 발화하지 않았습니다.</w:t>
      </w:r>
    </w:p>
    <w:p>
      <w:pPr>
        <w:pStyle w:val="ListParagraph"/>
        <w:numPr>
          <w:ilvl w:val="0"/>
          <w:numId w:val="1"/>
        </w:numPr>
        <w:shd w:val="clear" w:color="auto" w:fill="FBF4EE"/>
        <w:jc w:val="both"/>
      </w:pPr>
      <w:r>
        <w:rPr>
          <w:b/>
        </w:rPr>
        <w:t xml:space="preserve">수익-채권 괴리(E1)</w:t>
      </w:r>
      <w:r>
        <w:t xml:space="preserve">, </w:t>
      </w:r>
      <w:r>
        <w:rPr>
          <w:b/>
        </w:rPr>
        <w:t xml:space="preserve">발생액 품질(E8)</w:t>
      </w:r>
      <w:r>
        <w:t xml:space="preserve">: 이익의 현금 뒷받침 측면에서는 임계값 미달로 미발화 — 매출 축소 국면임에도 현금흐름 대비 이익 품질 지표는 점검 기준선 안쪽입니다.</w:t>
      </w:r>
    </w:p>
    <w:p>
      <w:pPr>
        <w:pStyle w:val="ListParagraph"/>
        <w:numPr>
          <w:ilvl w:val="0"/>
          <w:numId w:val="1"/>
        </w:numPr>
        <w:shd w:val="clear" w:color="auto" w:fill="FBF4EE"/>
        <w:jc w:val="both"/>
      </w:pPr>
      <w:r>
        <w:rPr>
          <w:b/>
        </w:rPr>
        <w:t xml:space="preserve">차입 확대·이자 부담(E3)</w:t>
      </w:r>
      <w:r>
        <w:t xml:space="preserve">: 차입 확대 기준 미달로 미발화. 다만 이자보상 여력의 추세는 정기 모니터링 대상으로 두시길 권합니다.</w:t>
      </w:r>
    </w:p>
    <w:p>
      <w:pPr>
        <w:pStyle w:val="ListParagraph"/>
        <w:numPr>
          <w:ilvl w:val="0"/>
          <w:numId w:val="1"/>
        </w:numPr>
        <w:shd w:val="clear" w:color="auto" w:fill="FBF4EE"/>
        <w:jc w:val="both"/>
      </w:pPr>
      <w:r>
        <w:rPr>
          <w:b/>
        </w:rPr>
        <w:t xml:space="preserve">유동성 하락(E4)</w:t>
      </w:r>
      <w:r>
        <w:t xml:space="preserve">: 유동비율이 개선 추세로 임계값 미달, 미발화.</w:t>
      </w:r>
    </w:p>
    <w:p>
      <w:pPr>
        <w:pStyle w:val="ListParagraph"/>
        <w:numPr>
          <w:ilvl w:val="0"/>
          <w:numId w:val="1"/>
        </w:numPr>
        <w:shd w:val="clear" w:color="auto" w:fill="FBF4EE"/>
        <w:jc w:val="both"/>
      </w:pPr>
      <w:r>
        <w:rPr>
          <w:b/>
        </w:rPr>
        <w:t xml:space="preserve">공시 행간(E5)</w:t>
      </w:r>
      <w:r>
        <w:t xml:space="preserve">: 최근 90일 공시에서 정정·해명 패턴이 발화 기준 미달, 미발화.</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사업연도, 연결 기준)와 한국은행 거시지표에서 </w:t>
      </w:r>
      <w:r>
        <w:rPr>
          <w:b/>
        </w:rPr>
        <w:t xml:space="preserve">결정론적으로 파생된 신호</w:t>
      </w:r>
      <w:r>
        <w:t xml:space="preserve">에 기반합니다. 내부 회계 데이터(거래처별 매출·원가 상세)는 제공되지 않아 거래처 집중, 원가 왜곡 등 내부 축은 이번 진단 범위에 포함되지 않았습니다.</w:t>
      </w:r>
    </w:p>
    <w:p>
      <w:pPr>
        <w:pStyle w:val="ListParagraph"/>
        <w:numPr>
          <w:ilvl w:val="0"/>
          <w:numId w:val="1"/>
        </w:numPr>
        <w:jc w:val="both"/>
      </w:pPr>
      <w:r>
        <w:t xml:space="preserve">발화한 신호는 회계 부정의 증거가 아니라 </w:t>
      </w:r>
      <w:r>
        <w:rPr>
          <w:b/>
        </w:rPr>
        <w:t xml:space="preserve">행간 점검이 필요한 이상 패턴</w:t>
      </w:r>
      <w:r>
        <w:t xml:space="preserve">입니다. 확정 판단은 위 판별 테스트(주석 확인·분기 추적)를 거친 뒤에 가능합니다.</w:t>
      </w:r>
    </w:p>
    <w:p>
      <w:pPr>
        <w:pStyle w:val="ListParagraph"/>
        <w:numPr>
          <w:ilvl w:val="0"/>
          <w:numId w:val="1"/>
        </w:numPr>
        <w:jc w:val="both"/>
      </w:pPr>
      <w:r>
        <w:t xml:space="preserve">뉴스·평판 축과 시장(주가) 축은 이번 진단에서 실행되지 않았으며, 비정형 문서 분석도 수행되지 않았습니다.</w:t>
      </w:r>
    </w:p>
    <w:p>
      <w:pPr>
        <w:pStyle w:val="ListParagraph"/>
        <w:numPr>
          <w:ilvl w:val="0"/>
          <w:numId w:val="1"/>
        </w:numPr>
        <w:jc w:val="both"/>
      </w:pPr>
      <w:r>
        <w:t xml:space="preserve">재고 관련 수치는 연결 기준 연 단위 비교로, 분기 내 계절성이나 일시적 프로젝트성 재고(예: 납품 대기 물량)는 구분하지 못합니다. 판별 테스트 2번(재고 구성 확인)이 이를 보완합니다.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(주)우리넷</dc:title>
  <dc:creator>Trusted CEO Agent</dc:creator>
  <cp:lastModifiedBy>Trusted CEO Agent</cp:lastModifiedBy>
  <dcterms:created xsi:type="dcterms:W3CDTF">2026-07-14T00:00:00Z</dcterms:created>
  <dcterms:modified xsi:type="dcterms:W3CDTF">2026-07-14T00:00:00Z</dcterms:modified>
</cp:coreProperties>
</file>