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브리핑 — 우리바이오(주) 경영리스크 진단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우리바이오(주) (종목코드 082850, 사업자등록번호 134-81-55919)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대표이사</w:t>
      </w:r>
      <w:r>
        <w:t xml:space="preserve">: 엄태욱, 윤지용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기준</w:t>
      </w:r>
      <w:r>
        <w:t xml:space="preserve">: 2025 사업연도 연결재무제표(CFS), 최근 90일 공시 창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(2026-07-12 기준, 조회 구간 내 변동 없음) — 출처: 한국은행 ECOS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방식</w:t>
      </w:r>
      <w:r>
        <w:t xml:space="preserve">: DART 공시·ECOS 거시 데이터에서 결정론 파생한 외부 신호 6종(E1·E2·E3·E4·E5·E8) 평가. 내부 CSV·뉴스·시장·문서 축은 이번 진단에 제공되지 않음</w:t>
      </w:r>
    </w:p>
    <w:p>
      <w:pPr>
        <w:pStyle w:val="Heading1"/>
      </w:pPr>
      <w:r>
        <w:rPr>
          <w:b/>
          <w:color w:val="1B2A4A"/>
        </w:rPr>
        <w:t xml:space="preserve">종합 판단</w:t>
      </w:r>
    </w:p>
    <w:p>
      <w:pPr>
        <w:jc w:val="both"/>
      </w:pPr>
      <w:r>
        <w:t xml:space="preserve">이번 진단에서 </w:t>
      </w:r>
      <w:r>
        <w:rPr>
          <w:b/>
        </w:rPr>
        <w:t xml:space="preserve">임계값을 초과해 발화한 리스크 신호는 0건</w:t>
      </w:r>
      <w:r>
        <w:t xml:space="preserve">입니다. 평가 가능했던 외부 신호 6종 모두 미발화로, 본 브리핑에는 서명을 요하는 개별 리스크 항목이 없습니다.</w:t>
      </w:r>
    </w:p>
    <w:p>
      <w:pPr>
        <w:jc w:val="both"/>
      </w:pPr>
      <w:r>
        <w:t xml:space="preserve">다만 "신호 미발화"는 "리스크 부재의 보증"이 아니라 </w:t>
      </w:r>
      <w:r>
        <w:rPr>
          <w:b/>
        </w:rPr>
        <w:t xml:space="preserve">"이번 데이터 창에서 임계값을 넘는 이상 패턴이 관측되지 않았다"</w:t>
      </w:r>
      <w:r>
        <w:t xml:space="preserve">는 의미입니다. 아래 미발화 요약과 상시 점검 권고를 함께 확인해 주시기 바랍니다.</w:t>
      </w:r>
    </w:p>
    <w:p>
      <w:pPr>
        <w:pStyle w:val="Heading1"/>
      </w:pPr>
      <w:r>
        <w:rPr>
          <w:b/>
          <w:color w:val="1B2A4A"/>
        </w:rPr>
        <w:t xml:space="preserve">신호별 미발화 요약 (정성)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1200"/>
        <w:gridCol w:w="5170"/>
      </w:tblGrid>
      <w:tr>
        <w:tc>
          <w:tcPr>
            <w:tcW w:w="27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신호</w:t>
            </w:r>
          </w:p>
        </w:tc>
        <w:tc>
          <w:tcPr>
            <w:tcW w:w="12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점검 축</w:t>
            </w:r>
          </w:p>
        </w:tc>
        <w:tc>
          <w:tcPr>
            <w:tcW w:w="517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수익-채권 괴리 (이익의 현금화)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재고 자산 적체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차입 확대·이자 부담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유동성 하락 (유동비율)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공시 행간 (정정·해명 패턴)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발생액 품질 (이익-현금 괴리)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</w:t>
            </w:r>
          </w:p>
        </w:tc>
      </w:tr>
    </w:tbl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각 신호는 매출·채권·재고·차입·이자보상·유동비율·공시 이력·발생액 비율을 임계값과 대조하는 결정론 판정이며, 이번 진단에서는 어느 축도 발화 기준에 이르지 않았습니다.</w:t>
      </w:r>
    </w:p>
    <w:p>
      <w:pPr>
        <w:pStyle w:val="Heading1"/>
      </w:pPr>
      <w:r>
        <w:rPr>
          <w:b/>
          <w:color w:val="1B2A4A"/>
        </w:rPr>
        <w:t xml:space="preserve">상시 점검 권고 (리스크 아님 — 경영 위생 차원)</w:t>
      </w:r>
    </w:p>
    <w:p>
      <w:pPr>
        <w:jc w:val="both"/>
      </w:pPr>
      <w:r>
        <w:t xml:space="preserve">발화 리스크가 없으므로 즉각 조치 사항은 없습니다. 다음 정기 진단 전까지 아래를 유지·점검하시면 신호 체계의 조기 경보 기능이 온전히 작동합니다.</w:t>
      </w:r>
    </w:p>
    <w:p>
      <w:pPr>
        <w:jc w:val="both"/>
      </w:pPr>
      <w:r>
        <w:t xml:space="preserve">1. </w:t>
      </w:r>
      <w:r>
        <w:rPr>
          <w:b/>
        </w:rPr>
        <w:t xml:space="preserve">분기 주기 재진단</w:t>
      </w:r>
      <w:r>
        <w:t xml:space="preserve"> — 신호는 데이터 창에 종속되므로, 다음 분기·반기 보고서 공시 직후 동일 진단을 재실행해 추세 이탈 여부를 확인하십시오.</w:t>
      </w:r>
    </w:p>
    <w:p>
      <w:pPr>
        <w:jc w:val="both"/>
      </w:pPr>
      <w:r>
        <w:t xml:space="preserve">2. </w:t>
      </w:r>
      <w:r>
        <w:rPr>
          <w:b/>
        </w:rPr>
        <w:t xml:space="preserve">미제공 축 보강</w:t>
      </w:r>
      <w:r>
        <w:t xml:space="preserve"> — 이번 진단은 공시·거시 축만 사용했습니다. 내부 회계 CSV(`--data-dir`)를 제공하면 거래처 집중·원가 왜곡·공시 대사 축이, `--with-news`/`--with-market` 옵션을 켜면 평판·시장 축이 추가로 열립니다. 진단 커버리지 확대를 권고드립니다.</w:t>
      </w:r>
    </w:p>
    <w:p>
      <w:pPr>
        <w:jc w:val="both"/>
      </w:pPr>
      <w:r>
        <w:t xml:space="preserve">3. </w:t>
      </w:r>
      <w:r>
        <w:rPr>
          <w:b/>
        </w:rPr>
        <w:t xml:space="preserve">차기 실적 발표 시 현금흐름 대조</w:t>
      </w:r>
      <w:r>
        <w:t xml:space="preserve"> — 미발화 상태의 지속 여부는 차기 분기 영업현금흐름 실측으로 자연 검증됩니다.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</w:t>
      </w:r>
      <w:r>
        <w:rPr>
          <w:b/>
        </w:rPr>
        <w:t xml:space="preserve">DART 공시 데이터(2025 사업연도 연결 기준)와 한국은행 ECOS 거시 지표</w:t>
      </w:r>
      <w:r>
        <w:t xml:space="preserve">에서 기계적으로 파생한 신호에 근거하며, 실사(due diligence)나 회계감사를 대체하지 않습니다.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내부 원장·거래처·원가 데이터, 뉴스·평판, 시장 시세, 비정형 문서 축은 이번 진단에 포함되지 않았으므로, 해당 영역의 리스크 유무에 대해서는 판단을 유보합니다.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신호 임계값은 건전 코호트 발화율로 캘리브레이션된 휴리스틱이며, 임계값 미달 구간에 있는 완만한 추세 변화는 포착하지 못할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창은 최근 90일로 제한되어, 그 이전의 정정·해명 이력은 이번 판정에 반영되지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문서의 판단은 모두 "이번 데이터 창 기준 관측 결과"이며, 향후 공시·실적에 따라 달라질 수 있습니다.</w:t>
      </w:r>
    </w:p>
    <w:p>
      <w:pPr>
        <w:jc w:val="both"/>
      </w:pPr>
      <w:r>
        <w:t xml:space="preserve">*본 브리핑은 trusted-ceo-agent 진단 프레임워크의 결정론 신호 패킷에 근거해 작성되었습니다. 서명 전 상기 한계를 확인해 주시기 바랍니다.*</w:t>
      </w:r>
    </w:p>
    <w:p>
      <w:pPr>
        <w:jc w:val="both"/>
      </w:pPr>
      <w:r>
        <w:rPr>
          <w:b/>
        </w:rPr>
        <w:t xml:space="preserve">대표이사 (서명): ______________________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브리핑 — 우리바이오(주) 경영리스크 진단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