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(주)제로투세븐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수신</w:t>
      </w:r>
      <w:r>
        <w:t xml:space="preserve">: 박영욱 대표이사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(주)제로투세븐 (종목코드 159580, 사업자등록번호 220-81-76684)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회계연도 연결재무제표(CFS) 공시 + 최근 90일 공시 이력 + 거시지표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작성일</w:t>
      </w:r>
      <w:r>
        <w:t xml:space="preserve">: 2026-07-15</w:t>
      </w:r>
    </w:p>
    <w:p>
      <w:pPr>
        <w:pStyle w:val="Heading1"/>
      </w:pPr>
      <w:r>
        <w:rPr>
          <w:b/>
          <w:color w:val="1B2A4A"/>
        </w:rPr>
        <w:t xml:space="preserve">종합 판정</w:t>
      </w:r>
    </w:p>
    <w:p>
      <w:pPr>
        <w:jc w:val="both"/>
      </w:pPr>
      <w:r>
        <w:t xml:space="preserve">이번 진단 창에서 </w:t>
      </w:r>
      <w:r>
        <w:rPr>
          <w:b/>
        </w:rPr>
        <w:t xml:space="preserve">임계값을 넘어 발화한 리스크 신호는 없습니다</w:t>
      </w:r>
      <w:r>
        <w:t xml:space="preserve"> (외부 신호 발화 0건).</w:t>
      </w:r>
    </w:p>
    <w:p>
      <w:pPr>
        <w:jc w:val="both"/>
      </w:pPr>
      <w:r>
        <w:t xml:space="preserve">수익-채권 괴리, 재고 적체, 유동성 하락, 공시 정정 패턴, 발생액 품질의 다섯 개 평가 가능 축이</w:t>
      </w:r>
    </w:p>
    <w:p>
      <w:pPr>
        <w:jc w:val="both"/>
      </w:pPr>
      <w:r>
        <w:t xml:space="preserve">모두 임계값 미달로 미발화했으며, 차입·이자 부담 축 한 개는 공시 데이터 한계로 평가 불능이었습니다.</w:t>
      </w:r>
    </w:p>
    <w:p>
      <w:pPr>
        <w:jc w:val="both"/>
      </w:pPr>
      <w:r>
        <w:t xml:space="preserve">따라서 본 브리핑에는 서명을 요구하는 개별 리스크 절이 없으며, 아래는 미발화 확인 내역과</w:t>
      </w:r>
    </w:p>
    <w:p>
      <w:pPr>
        <w:jc w:val="both"/>
      </w:pPr>
      <w:r>
        <w:t xml:space="preserve">데이터 공백에 대한 후속 점검 권고입니다.</w:t>
      </w:r>
    </w:p>
    <w:p>
      <w:pPr>
        <w:pStyle w:val="Heading1"/>
      </w:pPr>
      <w:r>
        <w:rPr>
          <w:b/>
          <w:color w:val="1B2A4A"/>
        </w:rPr>
        <w:t xml:space="preserve">신호별 미발화 확인 (정성 요약)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0"/>
        <w:gridCol w:w="1200"/>
        <w:gridCol w:w="5170"/>
      </w:tblGrid>
      <w:tr>
        <w:tc>
          <w:tcPr>
            <w:tcW w:w="27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축</w:t>
            </w:r>
          </w:p>
        </w:tc>
        <w:tc>
          <w:tcPr>
            <w:tcW w:w="12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신호</w:t>
            </w:r>
          </w:p>
        </w:tc>
        <w:tc>
          <w:tcPr>
            <w:tcW w:w="517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수익-채권 괴리 (이익의 현금화 저조)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채권이 매출을 앞질러 증가하는 패턴이 관찰되지 않았습니다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재고 자산 적체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차입 확대·이자 부담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평가 불능</w:t>
            </w:r>
            <w:r>
              <w:rPr>
                <w:sz w:val="19"/>
                <w:szCs w:val="19"/>
              </w:rPr>
              <w:t xml:space="preserve"> — 공시에서 차입금 계정을 찾지 못했습니다 (아래 후속 점검 참조)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유동성 하락 (유동비율)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2년 연속 하락 패턴 없음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공시 행간 (정정·해명 패턴)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관찰 창 내 정정·해명 공시 패턴 없음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발생액 품질 (이익-현금 괴리)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이익과 영업현금흐름의 지속 괴리가 관찰되지 않았습니다</w:t>
            </w:r>
          </w:p>
        </w:tc>
      </w:tr>
    </w:tbl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거시 환경은 한국은행 기준금리 2.5%(2026-07-12 기준, 관찰 구간 내 변동 0%p)로,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금리 급변에 따른 재무 부담 가중 요인은 이번 창에서 관찰되지 않았습니다.</w:t>
      </w:r>
    </w:p>
    <w:p>
      <w:pPr>
        <w:pStyle w:val="Heading1"/>
      </w:pPr>
      <w:r>
        <w:rPr>
          <w:b/>
          <w:color w:val="1B2A4A"/>
        </w:rPr>
        <w:t xml:space="preserve">후속 점검 권고 (리스크 아님 — 데이터 공백·상시 위생)</w:t>
      </w:r>
    </w:p>
    <w:p>
      <w:pPr>
        <w:jc w:val="both"/>
      </w:pPr>
      <w:r>
        <w:t xml:space="preserve">1. </w:t>
      </w:r>
      <w:r>
        <w:rPr>
          <w:b/>
        </w:rPr>
        <w:t xml:space="preserve">차입 계정 공시 확인 (E3 공백 해소)</w:t>
      </w:r>
      <w:r>
        <w:t xml:space="preserve"> — 이번 진단은 공시 표준계정에서 차입금을 식별하지</w:t>
      </w:r>
    </w:p>
    <w:p>
      <w:pPr>
        <w:jc w:val="both"/>
      </w:pPr>
      <w:r>
        <w:t xml:space="preserve">못해 차입·이자 부담 축을 판정하지 못했습니다. 실제 무차입 상태인지, 계정 분류(리스부채·</w:t>
      </w:r>
    </w:p>
    <w:p>
      <w:pPr>
        <w:jc w:val="both"/>
      </w:pPr>
      <w:r>
        <w:t xml:space="preserve">기타금융부채 등)로 인해 표준계정 매칭에서 누락된 것인지 재무 주석으로 확인하시길 권고합니다.</w:t>
      </w:r>
    </w:p>
    <w:p>
      <w:pPr>
        <w:jc w:val="both"/>
      </w:pPr>
      <w:r>
        <w:t xml:space="preserve">무차입이라면 강점으로 확정되고, 분류 문제라면 다음 진단부터 축이 열립니다.</w:t>
      </w:r>
    </w:p>
    <w:p>
      <w:pPr>
        <w:jc w:val="both"/>
      </w:pPr>
      <w:r>
        <w:t xml:space="preserve">2. </w:t>
      </w:r>
      <w:r>
        <w:rPr>
          <w:b/>
        </w:rPr>
        <w:t xml:space="preserve">내부 데이터 축 개방</w:t>
      </w:r>
      <w:r>
        <w:t xml:space="preserve"> — 이번 진단은 공시·거시 기반의 기본 모드였습니다. 내부 회계 CSV를</w:t>
      </w:r>
    </w:p>
    <w:p>
      <w:pPr>
        <w:jc w:val="both"/>
      </w:pPr>
      <w:r>
        <w:t xml:space="preserve">제공하시면 거래처 집중도, 원가 배부 왜곡, 내부 장부-공시 대사 등 상세 축의 교차 검증이</w:t>
      </w:r>
    </w:p>
    <w:p>
      <w:pPr>
        <w:jc w:val="both"/>
      </w:pPr>
      <w:r>
        <w:t xml:space="preserve">가능합니다.</w:t>
      </w:r>
    </w:p>
    <w:p>
      <w:pPr>
        <w:jc w:val="both"/>
      </w:pPr>
      <w:r>
        <w:t xml:space="preserve">3. </w:t>
      </w:r>
      <w:r>
        <w:rPr>
          <w:b/>
        </w:rPr>
        <w:t xml:space="preserve">분기 단위 재진단</w:t>
      </w:r>
      <w:r>
        <w:t xml:space="preserve"> — 미발화는 "현 시점 관찰 창에서 임계값 미달"이라는 의미이지 향후</w:t>
      </w:r>
    </w:p>
    <w:p>
      <w:pPr>
        <w:jc w:val="both"/>
      </w:pPr>
      <w:r>
        <w:t xml:space="preserve">무결을 보증하지 않습니다. 다음 분기 보고서 공시 시점에 동일 프레임워크로 재진단하여</w:t>
      </w:r>
    </w:p>
    <w:p>
      <w:pPr>
        <w:jc w:val="both"/>
      </w:pPr>
      <w:r>
        <w:t xml:space="preserve">추세 변화를 조기에 포착하시길 권고합니다.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공시(2025 회계연도 연결 기준)와 최근 90일 공시 이력, 한국은행 거시지표에서</w:t>
      </w:r>
    </w:p>
    <w:p>
      <w:pPr>
        <w:jc w:val="both"/>
      </w:pPr>
      <w:r>
        <w:t xml:space="preserve">결정론적으로 파생된 신호에 근거하며, 내부 회계 데이터·비정형 문서·뉴스·시장(주가) 축은</w:t>
      </w:r>
    </w:p>
    <w:p>
      <w:pPr>
        <w:jc w:val="both"/>
      </w:pPr>
      <w:r>
        <w:t xml:space="preserve">이번 진단에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차입·이자 부담 축(E3)은 공시 계정 미식별로 평가하지 못했으므로, 해당 영역의 "이상 없음"을</w:t>
      </w:r>
    </w:p>
    <w:p>
      <w:pPr>
        <w:jc w:val="both"/>
      </w:pPr>
      <w:r>
        <w:t xml:space="preserve">의미하지 않습니다.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미발화 판정은 사전 정의된 임계값 기준의 스크리닝 결과이며, 임계값 이하의 완만한 변화나</w:t>
      </w:r>
    </w:p>
    <w:p>
      <w:pPr>
        <w:jc w:val="both"/>
      </w:pPr>
      <w:r>
        <w:t xml:space="preserve">공시에 반영되지 않은 사건(계약·소송·자금 약정 등)은 포착 범위 밖입니다.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문서는 감사 의견이나 회계 적정성에 대한 단정이 아니며, 경영 판단을 위한 참고 자료입니다.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(주)제로투세븐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