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(주)카카오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 </w:t>
      </w:r>
      <w:r>
        <w:rPr>
          <w:color w:val="595959"/>
          <w:sz w:val="20"/>
          <w:szCs w:val="20"/>
        </w:rPr>
        <w:t xml:space="preserve">(주)카카오 (종목코드 035720, 대표 정신아) · 기준연도 FY2025 (연결/CFS)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분석 기준  </w:t>
      </w:r>
      <w:r>
        <w:rPr>
          <w:color w:val="595959"/>
          <w:sz w:val="20"/>
          <w:szCs w:val="20"/>
        </w:rPr>
        <w:t xml:space="preserve">공시·거시 축 (내부 CSV·뉴스·시장·문서 축 미제공)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거시 참고  </w:t>
      </w:r>
      <w:r>
        <w:rPr>
          <w:color w:val="595959"/>
          <w:sz w:val="20"/>
          <w:szCs w:val="20"/>
        </w:rPr>
        <w:t xml:space="preserve">한국은행 기준금리 2.5% (관찰 구간 내 변동 0%p)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정정 비중 상승 (공시 행간, 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공시 검수 체인(작성→법무·재무 크로스체크→제출) 1회 점검, 병목 지점 식별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Heading1"/>
      </w:pPr>
      <w:r>
        <w:rPr>
          <w:b/>
          <w:color w:val="1B2A4A"/>
        </w:rPr>
        <w:t xml:space="preserve">리스크 1 — 공시 정정 비중 상승 (공시 행간, E5)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최근 90일 공시 창에서 정정 공시 비중이 점검 임계선을 넘어섰습니다. 재무 수치 자체의 이상이 아니라, </w:t>
      </w:r>
      <w:r>
        <w:rPr>
          <w:b/>
        </w:rPr>
        <w:t xml:space="preserve">최초 공시의 확정도·검수 프로세스</w:t>
      </w:r>
      <w:r>
        <w:t xml:space="preserve">를 들여다볼 필요가 있다는 신호입니다.</w:t>
      </w:r>
    </w:p>
    <w:p>
      <w:pPr>
        <w:jc w:val="both"/>
      </w:pPr>
      <w:r>
        <w:rPr>
          <w:b/>
        </w:rPr>
        <w:t xml:space="preserve">근거 (수치·출처)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최근 90일간 총 공시 85건 중 정정 공시 20건 (출처: DART 전자공시 목록, FY2025 기준)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판정 임계값: 정정 최소 3건 — 관찰치가 이를 상회하여 발화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해명·풍문 공시 및 감사 관련 플래그는 확인되지 않음</w:t>
      </w:r>
    </w:p>
    <w:p>
      <w:pPr>
        <w:jc w:val="both"/>
      </w:pPr>
      <w:r>
        <w:rPr>
          <w:b/>
        </w:rPr>
        <w:t xml:space="preserve">왜 문제인가 (인과)</w:t>
      </w:r>
    </w:p>
    <w:p>
      <w:pPr>
        <w:jc w:val="both"/>
      </w:pPr>
      <w:r>
        <w:t xml:space="preserve">최초 공시가 반복적으로 뒤에서 수정되면, 시장은 카카오의 1차 공시를 액면 그대로 신뢰하지 않게 됩니다. 이 신뢰 저하는 후속 공시에 대한 할인으로 이어지고, 정정이 특정 유형(실적·중요계약)에 몰릴 경우 감독 당국의 공시 품질·내부통제 점검을 부를 수 있습니다. 즉, 지금은 수치 리스크가 아니라 </w:t>
      </w:r>
      <w:r>
        <w:rPr>
          <w:b/>
        </w:rPr>
        <w:t xml:space="preserve">공시 거버넌스의 신뢰 자산이 마모되는지</w:t>
      </w:r>
      <w:r>
        <w:t xml:space="preserve">의 문제입니다.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</w:p>
    <w:p>
      <w:pPr>
        <w:jc w:val="both"/>
      </w:pPr>
      <w:r>
        <w:t xml:space="preserve">(정정 건수 자체는 확인된 사실이나, 그 원인이 단순 오기·형식 정정인지 실질 수치 변경인지는 이 축에서 확정되지 않습니다.)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정정 사유를 유형별로 분류 — 단순 오기/형식 vs 수치·실적·중요계약 변경 비중</w:t>
      </w:r>
    </w:p>
    <w:p>
      <w:pPr>
        <w:jc w:val="both"/>
      </w:pPr>
      <w:r>
        <w:t xml:space="preserve">2. 정정 대상 공시의 성격 확인 — 실적·자금·지배구조 등 중요 공시에 집중되는지</w:t>
      </w:r>
    </w:p>
    <w:p>
      <w:pPr>
        <w:jc w:val="both"/>
      </w:pPr>
      <w:r>
        <w:t xml:space="preserve">3. 정정 발생 시점 분포 — 특정 분기·특정 담당 라인에 편중되는지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검수 체인(작성→법무·재무 크로스체크→제출) 1회 점검, 병목 지점 식별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90일 정정 건을 사유 유형별로 집계한 내부 리포트 작성 후 이사회 보고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반복 정정 항목에 대한 근본원인 분석 및 재발 방지 룰 정비</w:t>
      </w:r>
    </w:p>
    <w:p>
      <w:pPr>
        <w:pStyle w:val="Heading1"/>
      </w:pPr>
      <w:r>
        <w:rPr>
          <w:b/>
          <w:color w:val="1B2A4A"/>
        </w:rPr>
        <w:t xml:space="preserve">임계값 미달로 미발화한 축 (정상 판정)</w:t>
      </w:r>
    </w:p>
    <w:p>
      <w:pPr>
        <w:jc w:val="both"/>
      </w:pPr>
      <w:r>
        <w:t xml:space="preserve">아래 축은 결측이 아니라 </w:t>
      </w:r>
      <w:r>
        <w:rPr>
          <w:b/>
        </w:rPr>
        <w:t xml:space="preserve">결정론 판정에서 임계값을 넘지 않아 리스크로 승격되지 않았습니다.</w:t>
      </w:r>
      <w:r>
        <w:t xml:space="preserve"> 참고용으로만 명기하며, 이번 브리핑의 조치 대상이 아닙니다.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수익-채권 괴리 (E1)</w:t>
      </w:r>
      <w:r>
        <w:t xml:space="preserve"> 및 </w:t>
      </w:r>
      <w:r>
        <w:rPr>
          <w:b/>
        </w:rPr>
        <w:t xml:space="preserve">발생액 품질 (E8)</w:t>
      </w:r>
      <w:r>
        <w:t xml:space="preserve">: 이익이 현금흐름으로 무리 없이 뒷받침되는 구간으로, 조기 인식·현금화 저조 정황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재고 자산 적체 (E2)</w:t>
      </w:r>
      <w:r>
        <w:t xml:space="preserve">: 매출 대비 재고 부담 확대 신호 없음(플랫폼 사업 특성상 재고 비중 자체가 미미).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 확대·이자 부담 (E3)</w:t>
      </w:r>
      <w:r>
        <w:t xml:space="preserve">: 차입 규모·이자보상 측면에서 임계 신호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유동성 (E4)</w:t>
      </w:r>
      <w:r>
        <w:t xml:space="preserve">: 유동비율이 점검 하한을 넘어선 수준을 유지, 연속 하락 추세도 아님.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이번 진단은 </w:t>
      </w:r>
      <w:r>
        <w:rPr>
          <w:b/>
        </w:rPr>
        <w:t xml:space="preserve">DART 공시·거시(ECOS) 축만</w:t>
      </w:r>
      <w:r>
        <w:t xml:space="preserve"> 사용했습니다. 내부 CSV(거래처 집중·원가 왜곡)·뉴스·시장·비정형 문서 축은 제공되지 않아, 해당 관점의 리스크는 이 브리핑에서 다루지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발화된 E5는 </w:t>
      </w:r>
      <w:r>
        <w:rPr>
          <w:b/>
        </w:rPr>
        <w:t xml:space="preserve">정정 건수(raw count) 기반</w:t>
      </w:r>
      <w:r>
        <w:t xml:space="preserve">이며, 사유별 분류는 포함되지 않았습니다. 실제 위험도는 위 판별 테스트를 거친 뒤에야 확정됩니다.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동명 후보 5건(카카오·카카오엠·카카오페이·카카오뱅크·카카오게임즈) 중 </w:t>
      </w:r>
      <w:r>
        <w:rPr>
          <w:b/>
        </w:rPr>
        <w:t xml:space="preserve">카카오 본체(00258801)</w:t>
      </w:r>
      <w:r>
        <w:t xml:space="preserve"> 를 대상으로 진단했습니다. 계열사 관점 리스크는 별도 진단이 필요합니다.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업종 프리셋은 적용하지 않았으므로(기본 임계값), 플랫폼 업종 특성을 반영한 재보정 시 일부 축의 민감도가 달라질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재무 축 미발화는 "이상 없음"의 단정이 아니라 "현 임계 기준에서 점검 신호 없음"으로 읽어 주시기 바랍니다.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(주)카카오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