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경영리스크 브리핑 — 에이치디현대에너지솔루션(주)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2026-07-14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에이치디현대에너지솔루션(주) (대표이사 박종환, 종목코드 322000, 사업자등록번호 118-81-22037)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분석 기준</w:t>
      </w:r>
      <w:r>
        <w:t xml:space="preserve">: 2025 사업연도 연결재무제표(CFS, DART 공시) + 최근 90일 공시 이력 + 거시지표(한국은행 기준금리 2.5%, 2026-07-12 기준)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진단 결과 요약</w:t>
      </w:r>
      <w:r>
        <w:t xml:space="preserve">: 결정론 신호 6종 평가 — </w:t>
      </w:r>
      <w:r>
        <w:rPr>
          <w:b/>
        </w:rPr>
        <w:t xml:space="preserve">발화 1건(E1 수익-채권 괴리)</w:t>
      </w:r>
      <w:r>
        <w:t xml:space="preserve">, 미발화 5건</w:t>
      </w:r>
    </w:p>
    <w:p>
      <w:pPr>
        <w:pStyle w:val="Heading1"/>
      </w:pPr>
      <w:r>
        <w:rPr>
          <w:b/>
          <w:color w:val="1B2A4A"/>
        </w:rPr>
        <w:t xml:space="preserve">리스크 1 — 매출 성장 대비 매출채권 급증: 이익의 현금화 저조 (E1)</w:t>
      </w:r>
    </w:p>
    <w:p>
      <w:pPr>
        <w:pStyle w:val="Heading2"/>
      </w:pPr>
      <w:r>
        <w:rPr>
          <w:b/>
          <w:color w:val="1B2A4A"/>
        </w:rPr>
        <w:t xml:space="preserve">결론</w:t>
      </w:r>
    </w:p>
    <w:p>
      <w:pPr>
        <w:jc w:val="both"/>
      </w:pPr>
      <w:r>
        <w:t xml:space="preserve">2025년 연결 기준 매출은 성장했으나, 매출채권이 매출 증가 속도를 크게 앞질러 늘어났고 영업이익 대비 영업현금흐름이 저조합니다. </w:t>
      </w:r>
      <w:r>
        <w:rPr>
          <w:b/>
        </w:rPr>
        <w:t xml:space="preserve">장부상 이익이 현금으로 회수되지 못하고 채권에 잠겨 있을 가능성</w:t>
      </w:r>
      <w:r>
        <w:t xml:space="preserve">을 점검할 필요가 있습니다.</w:t>
      </w:r>
    </w:p>
    <w:p>
      <w:pPr>
        <w:pStyle w:val="Heading2"/>
      </w:pPr>
      <w:r>
        <w:rPr>
          <w:b/>
          <w:color w:val="1B2A4A"/>
        </w:rPr>
        <w:t xml:space="preserve">근거 (수치 + 출처)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매출 성장률 </w:t>
      </w:r>
      <w:r>
        <w:rPr>
          <w:b/>
        </w:rPr>
        <w:t xml:space="preserve">16.6%</w:t>
      </w:r>
      <w:r>
        <w:t xml:space="preserve"> vs 매출채권 증가율 </w:t>
      </w:r>
      <w:r>
        <w:rPr>
          <w:b/>
        </w:rPr>
        <w:t xml:space="preserve">68.9%</w:t>
      </w:r>
      <w:r>
        <w:t xml:space="preserve"> — 괴리 </w:t>
      </w:r>
      <w:r>
        <w:rPr>
          <w:b/>
        </w:rPr>
        <w:t xml:space="preserve">52.2%p</w:t>
      </w:r>
      <w:r>
        <w:t xml:space="preserve"> (임계값 15%p 초과). *출처: DART 2025 연결재무제표(CFS) 파생 계산*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영업현금흐름/영업이익 비율 </w:t>
      </w:r>
      <w:r>
        <w:rPr>
          <w:b/>
        </w:rPr>
        <w:t xml:space="preserve">0.43</w:t>
      </w:r>
      <w:r>
        <w:t xml:space="preserve"> — 임계 하한 0.8 미달. *출처: 동일*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매출채권 절대 규모는 0.1조 원 수준으로 크지 않으나, 증가 속도의 비대칭이 핵심입니다.</w:t>
      </w:r>
    </w:p>
    <w:p>
      <w:pPr>
        <w:pStyle w:val="Heading2"/>
      </w:pPr>
      <w:r>
        <w:rPr>
          <w:b/>
          <w:color w:val="1B2A4A"/>
        </w:rPr>
        <w:t xml:space="preserve">왜 문제인가 (인과 사슬)</w:t>
      </w:r>
    </w:p>
    <w:p>
      <w:pPr>
        <w:jc w:val="both"/>
      </w:pPr>
      <w:r>
        <w:t xml:space="preserve">매출채권이 매출보다 훨씬 빠르게 늘어난다는 것은, 인식된 수익 중 상당 부분이 아직 고객으로부터 회수되지 않았다는 뜻입니다. 회수가 지연되는 채권이 쌓이면 ① 손익계산서의 이익과 실제 현금 창출력 사이의 간극이 벌어지고, ② 그 간극이 다음 기의 대손 위험 또는 운전자본 부담으로 전이되며, ③ 태양광 모듈 산업 특성상 특정 프로젝트·거래처향 매출 조건 완화(외상 기간 연장 등)가 원인이라면 성장의 질 자체가 훼손됩니다. 영업이익의 절반 이하만 현금으로 들어오는 현재 상태가 지속되면, 재무제표상 흑자와 무관하게 내부 자금 여력이 잠식됩니다.</w:t>
      </w:r>
    </w:p>
    <w:p>
      <w:pPr>
        <w:pStyle w:val="Heading2"/>
      </w:pPr>
      <w:r>
        <w:rPr>
          <w:b/>
          <w:color w:val="1B2A4A"/>
        </w:rPr>
        <w:t xml:space="preserve">확신도</w:t>
      </w:r>
    </w:p>
    <w:p>
      <w:pPr>
        <w:jc w:val="both"/>
      </w:pPr>
      <w:r>
        <w:rPr>
          <w:b/>
        </w:rPr>
        <w:t xml:space="preserve">가설</w:t>
      </w:r>
      <w:r>
        <w:t xml:space="preserve"> — 수치 괴리는 확인된 사실이나, 원인(판매 조건 변경·특정 거래처 집중·기말 밀어내기·일시적 회수 시차 중 무엇인지)은 공시 데이터만으로 특정할 수 없습니다.</w:t>
      </w:r>
    </w:p>
    <w:p>
      <w:pPr>
        <w:pStyle w:val="Heading2"/>
      </w:pPr>
      <w:r>
        <w:rPr>
          <w:b/>
          <w:color w:val="1B2A4A"/>
        </w:rPr>
        <w:t xml:space="preserve">판별 테스트 (이 가설을 기각/확정할 방법)</w:t>
      </w:r>
    </w:p>
    <w:p>
      <w:pPr>
        <w:jc w:val="both"/>
      </w:pPr>
      <w:r>
        <w:t xml:space="preserve">1. </w:t>
      </w:r>
      <w:r>
        <w:rPr>
          <w:b/>
        </w:rPr>
        <w:t xml:space="preserve">분기보고서로 채권 증가 시점 좁히기</w:t>
      </w:r>
      <w:r>
        <w:t xml:space="preserve"> — 4분기 집중이면 기말 매출 인식 관행을, 연중 고르게 분포하면 판매 조건의 구조적 변화를 시사합니다.</w:t>
      </w:r>
    </w:p>
    <w:p>
      <w:pPr>
        <w:jc w:val="both"/>
      </w:pPr>
      <w:r>
        <w:t xml:space="preserve">2. </w:t>
      </w:r>
      <w:r>
        <w:rPr>
          <w:b/>
        </w:rPr>
        <w:t xml:space="preserve">주석의 매출채권 연령 분석</w:t>
      </w:r>
      <w:r>
        <w:t xml:space="preserve"> — 6개월 초과 채권 비중이 함께 늘었는지 확인합니다. 늘지 않았다면 일시적 시차 가설이 강화됩니다.</w:t>
      </w:r>
    </w:p>
    <w:p>
      <w:pPr>
        <w:jc w:val="both"/>
      </w:pPr>
      <w:r>
        <w:t xml:space="preserve">3. </w:t>
      </w:r>
      <w:r>
        <w:rPr>
          <w:b/>
        </w:rPr>
        <w:t xml:space="preserve">대손충당금 설정률 추이</w:t>
      </w:r>
      <w:r>
        <w:t xml:space="preserve"> — 채권 급증에도 설정률이 오히려 낮아졌다면 이익 관리 가능성을 별도 점검해야 합니다.</w:t>
      </w:r>
    </w:p>
    <w:p>
      <w:pPr>
        <w:jc w:val="both"/>
      </w:pPr>
      <w:r>
        <w:t xml:space="preserve">4. </w:t>
      </w:r>
      <w:r>
        <w:rPr>
          <w:b/>
        </w:rPr>
        <w:t xml:space="preserve">차기 분기 영업현금흐름 실측</w:t>
      </w:r>
      <w:r>
        <w:t xml:space="preserve"> — 채권이 정상 회수되어 현금흐름이 복원되면 본 신호는 일시 괴리로 종결할 수 있습니다.</w:t>
      </w:r>
    </w:p>
    <w:p>
      <w:pPr>
        <w:pStyle w:val="Heading2"/>
      </w:pPr>
      <w:r>
        <w:rPr>
          <w:b/>
          <w:color w:val="1B2A4A"/>
        </w:rPr>
        <w:t xml:space="preserve">권고 조치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CFO에게 </w:t>
      </w:r>
      <w:r>
        <w:rPr>
          <w:b/>
        </w:rPr>
        <w:t xml:space="preserve">거래처별 채권 연령·회수 조건 변경 내역</w:t>
      </w:r>
      <w:r>
        <w:t xml:space="preserve"> 보고를 지시하고, 상위 거래처의 외상 조건이 2025년 중 완화됐는지 확인하십시오.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다음 분기 실적 검토 시 </w:t>
      </w:r>
      <w:r>
        <w:rPr>
          <w:b/>
        </w:rPr>
        <w:t xml:space="preserve">영업현금흐름 회복 여부를 별도 안건</w:t>
      </w:r>
      <w:r>
        <w:t xml:space="preserve">으로 상정하고, 미회복 시 채권 회수 전담 점검을 가동하십시오.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감사위원회에 수익 인식 시점과 기말 집중 매출에 대한 내부감사 범위 포함을 검토 요청하십시오.</w:t>
      </w:r>
    </w:p>
    <w:p>
      <w:pPr>
        <w:pStyle w:val="Heading1"/>
      </w:pPr>
      <w:r>
        <w:rPr>
          <w:b/>
          <w:color w:val="1B2A4A"/>
        </w:rPr>
        <w:t xml:space="preserve">미발화 신호 (참고 — 리스크 아님)</w:t>
      </w:r>
    </w:p>
    <w:p>
      <w:pPr>
        <w:jc w:val="both"/>
      </w:pPr>
      <w:r>
        <w:t xml:space="preserve">다음 축은 모두 평가 가능했으나 임계값 미달로 미발화했습니다: </w:t>
      </w:r>
      <w:r>
        <w:rPr>
          <w:b/>
        </w:rPr>
        <w:t xml:space="preserve">재고 자산 적체(E2)</w:t>
      </w:r>
      <w:r>
        <w:t xml:space="preserve">, </w:t>
      </w:r>
      <w:r>
        <w:rPr>
          <w:b/>
        </w:rPr>
        <w:t xml:space="preserve">차입 확대·이자 부담(E3)</w:t>
      </w:r>
      <w:r>
        <w:t xml:space="preserve">, </w:t>
      </w:r>
      <w:r>
        <w:rPr>
          <w:b/>
        </w:rPr>
        <w:t xml:space="preserve">유동성 하락(E4)</w:t>
      </w:r>
      <w:r>
        <w:t xml:space="preserve">, </w:t>
      </w:r>
      <w:r>
        <w:rPr>
          <w:b/>
        </w:rPr>
        <w:t xml:space="preserve">공시 행간 정정·해명 패턴(E5)</w:t>
      </w:r>
      <w:r>
        <w:t xml:space="preserve">, </w:t>
      </w:r>
      <w:r>
        <w:rPr>
          <w:b/>
        </w:rPr>
        <w:t xml:space="preserve">발생액 품질(E8)</w:t>
      </w:r>
      <w:r>
        <w:t xml:space="preserve">. 유동성과 이자 부담 여력은 현재 양호한 편으로 판단되며, 최근 90일 공시 이력에서도 반복 정정이나 해명 패턴은 관찰되지 않았습니다. 다만 E1과 개념적으로 인접한 발생액 품질(E8)은 이번 기 임계값 아래에 머물렀을 뿐이므로, 위 판별 테스트 4(차기 OCF 실측)와 함께 다음 진단 주기에 재확인을 권합니다.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DART 공시 재무제표(2025, 연결)·최근 90일 공시 메타데이터·한국은행 거시지표에서 </w:t>
      </w:r>
      <w:r>
        <w:rPr>
          <w:b/>
        </w:rPr>
        <w:t xml:space="preserve">결정론적으로 파생된 신호</w:t>
      </w:r>
      <w:r>
        <w:t xml:space="preserve">에 기반하며, 내부 회계 데이터(거래처 원장·원가 상세)는 제공되지 않아 거래처 집중·원가 왜곡 축은 평가 범위 밖입니다.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발화한 E1 신호는 </w:t>
      </w:r>
      <w:r>
        <w:rPr>
          <w:b/>
        </w:rPr>
        <w:t xml:space="preserve">회계적 이상 징후이지 부정의 증거가 아닙니다</w:t>
      </w:r>
      <w:r>
        <w:t xml:space="preserve">. 산업 사이클(프로젝트형 매출의 회수 시차), 신규 대형 계약의 정상적 외상 조건 등 정당한 사업적 원인으로도 동일한 수치 패턴이 나타날 수 있습니다.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원인 판별은 위 판별 테스트(분기 시점 분석·채권 연령·충당금 추이·차기 현금흐름)를 통해서만 가능하며, 그 전까지 본 브리핑의 결론은 가설 수준으로 다루어져야 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뉴스·시장(주가) 축과 비정형 문서 축은 이번 진단에 포함되지 않았습니다.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경영리스크 브리핑 — 에이치디현대에너지솔루션(주)</dc:title>
  <dc:creator>Trusted CEO Agent</dc:creator>
  <cp:lastModifiedBy>Trusted CEO Agent</cp:lastModifiedBy>
  <dcterms:created xsi:type="dcterms:W3CDTF">2026-07-14T00:00:00Z</dcterms:created>
  <dcterms:modified xsi:type="dcterms:W3CDTF">2026-07-14T00:00:00Z</dcterms:modified>
</cp:coreProperties>
</file>