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hd w:val="clear" w:color="auto" w:fill="D04A02"/>
        <w:spacing w:before="0" w:after="480"/>
      </w:pPr>
      <w:r>
        <w:t xml:space="preserve"> </w:t>
      </w:r>
    </w:p>
    <w:p>
      <w:pPr>
        <w:spacing w:before="1200" w:after="120"/>
      </w:pPr>
      <w:r>
        <w:rPr>
          <w:color w:val="595959"/>
          <w:sz w:val="22"/>
          <w:szCs w:val="22"/>
        </w:rPr>
        <w:t xml:space="preserve">CEO 경영 리스크 브리핑</w:t>
      </w:r>
    </w:p>
    <w:p>
      <w:pPr>
        <w:spacing w:after="360"/>
      </w:pPr>
      <w:r>
        <w:rPr>
          <w:b/>
          <w:color w:val="1B2A4A"/>
          <w:sz w:val="52"/>
          <w:szCs w:val="52"/>
        </w:rPr>
        <w:t xml:space="preserve">KB금융지주 CEO 서명용 리스크 브리핑</w:t>
      </w:r>
    </w:p>
    <w:p>
      <w:pPr>
        <w:spacing w:after="160"/>
      </w:pPr>
      <w:r>
        <w:rPr>
          <w:b/>
          <w:color w:val="D04A02"/>
          <w:sz w:val="20"/>
          <w:szCs w:val="20"/>
        </w:rPr>
        <w:t xml:space="preserve">대외비 · Confidential</w:t>
      </w:r>
    </w:p>
    <w:p>
      <w:pPr>
        <w:spacing w:after="600"/>
      </w:pPr>
      <w:r>
        <w:rPr>
          <w:color w:val="595959"/>
          <w:sz w:val="20"/>
          <w:szCs w:val="20"/>
        </w:rPr>
        <w:t xml:space="preserve">작성일 2026-07-11</w:t>
      </w:r>
    </w:p>
    <w:p>
      <w:pPr>
        <w:spacing w:before="2400" w:after="0"/>
      </w:pPr>
      <w:r>
        <w:rPr>
          <w:color w:val="A6A6A6"/>
          <w:sz w:val="16"/>
          <w:szCs w:val="16"/>
        </w:rPr>
        <w:t xml:space="preserve">본 보고서는 trusted-ceo-agent 진단 파이프라인(불변식 게이트 → 결정론 신호 파생 → 자동 채점)을 통과한 데이터에 기반해 작성되었으며, CEO 경영 판단 보조 자료로서 투자자문·투자권유가 아닙니다.</w:t>
      </w:r>
    </w:p>
    <w:p>
      <w:r>
        <w:br w:type="page"/>
      </w:r>
    </w:p>
    <w:p>
      <w:pPr>
        <w:pStyle w:val="Heading1"/>
      </w:pPr>
      <w:r>
        <w:rPr>
          <w:b/>
          <w:color w:val="1B2A4A"/>
        </w:rPr>
        <w:t xml:space="preserve">Executive Snapshot</w:t>
      </w:r>
    </w:p>
    <w:p>
      <w:pPr>
        <w:jc w:val="center"/>
        <w:spacing w:before="120" w:after="240"/>
      </w:pPr>
      <w:r>
        <w:drawing>
          <wp:inline xmlns:wp="http://schemas.openxmlformats.org/drawingml/2006/wordprocessingDrawing" distT="0" distB="0" distL="0" distR="0">
            <wp:extent cx="5943600" cy="3714750"/>
            <wp:effectExtent l="0" t="0" r="0" b="0"/>
            <wp:docPr id="1" name="Executive Snap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ecutive-summary.png"/>
                    <pic:cNvPicPr/>
                  </pic:nvPicPr>
                  <pic:blipFill>
                    <a:blip xmlns:r="http://schemas.openxmlformats.org/officeDocument/2006/relationships" r:embed="rIdSnapsho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b/>
          <w:color w:val="1B2A4A"/>
        </w:rPr>
        <w:t xml:space="preserve">핵심 리스크 한눈에 보기</w:t>
      </w:r>
    </w:p>
    <w:tbl>
      <w:tblPr>
        <w:tblStyle w:val="TableGrid"/>
        <w:tblW w:w="907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700" w:type="dxa"/>
            <w:shd w:val="clear" w:color="auto" w:fill="F2E8E0"/>
            <w:vAlign w:val="center"/>
          </w:tcPr>
          <w:p>
            <w:pPr>
              <w:spacing w:before="60" w:after="60"/>
            </w:pPr>
            <w:r>
              <w:rPr>
                <w:b/>
                <w:color w:val="1B2A4A"/>
                <w:sz w:val="19"/>
                <w:szCs w:val="19"/>
              </w:rPr>
              <w:t xml:space="preserve">구분</w:t>
            </w:r>
          </w:p>
        </w:tc>
        <w:tc>
          <w:tcPr>
            <w:tcW w:w="3300" w:type="dxa"/>
            <w:shd w:val="clear" w:color="auto" w:fill="F2E8E0"/>
            <w:vAlign w:val="center"/>
          </w:tcPr>
          <w:p>
            <w:pPr>
              <w:spacing w:before="60" w:after="60"/>
            </w:pPr>
            <w:r>
              <w:rPr>
                <w:b/>
                <w:color w:val="1B2A4A"/>
                <w:sz w:val="19"/>
                <w:szCs w:val="19"/>
              </w:rPr>
              <w:t xml:space="preserve">리스크</w:t>
            </w:r>
          </w:p>
        </w:tc>
        <w:tc>
          <w:tcPr>
            <w:tcW w:w="1100" w:type="dxa"/>
            <w:shd w:val="clear" w:color="auto" w:fill="F2E8E0"/>
            <w:vAlign w:val="center"/>
          </w:tcPr>
          <w:p>
            <w:pPr>
              <w:spacing w:before="60" w:after="60"/>
            </w:pPr>
            <w:r>
              <w:rPr>
                <w:b/>
                <w:color w:val="1B2A4A"/>
                <w:sz w:val="19"/>
                <w:szCs w:val="19"/>
              </w:rPr>
              <w:t xml:space="preserve">확신도</w:t>
            </w:r>
          </w:p>
        </w:tc>
        <w:tc>
          <w:tcPr>
            <w:tcW w:w="3970" w:type="dxa"/>
            <w:shd w:val="clear" w:color="auto" w:fill="F2E8E0"/>
            <w:vAlign w:val="center"/>
          </w:tcPr>
          <w:p>
            <w:pPr>
              <w:spacing w:before="60" w:after="60"/>
            </w:pPr>
            <w:r>
              <w:rPr>
                <w:b/>
                <w:color w:val="1B2A4A"/>
                <w:sz w:val="19"/>
                <w:szCs w:val="19"/>
              </w:rPr>
              <w:t xml:space="preserve">최우선 조치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60" w:after="60"/>
            </w:pPr>
            <w:r>
              <w:rPr>
                <w:b/>
                <w:color w:val="D04A02"/>
                <w:sz w:val="19"/>
                <w:szCs w:val="19"/>
              </w:rPr>
              <w:t xml:space="preserve">R1</w:t>
            </w:r>
          </w:p>
        </w:tc>
        <w:tc>
          <w:tcPr>
            <w:tcW w:w="3300" w:type="dxa"/>
            <w:vAlign w:val="center"/>
          </w:tcPr>
          <w:p>
            <w:pPr>
              <w:spacing w:before="60" w:after="60"/>
            </w:pPr>
            <w:r>
              <w:rPr>
                <w:b/>
                <w:sz w:val="19"/>
                <w:szCs w:val="19"/>
              </w:rPr>
              <w:t xml:space="preserve">공시 행간: 정정 공시 반복 패턴 (E5)</w:t>
            </w:r>
          </w:p>
        </w:tc>
        <w:tc>
          <w:tcPr>
            <w:tcW w:w="1100" w:type="dxa"/>
            <w:vAlign w:val="center"/>
          </w:tcPr>
          <w:p>
            <w:pPr>
              <w:spacing w:before="60" w:after="60"/>
            </w:pPr>
            <w:r>
              <w:rPr>
                <w:b/>
                <w:color w:val="B45309"/>
                <w:sz w:val="19"/>
                <w:szCs w:val="19"/>
              </w:rPr>
              <w:t xml:space="preserve">가설</w:t>
            </w:r>
          </w:p>
        </w:tc>
        <w:tc>
          <w:tcPr>
            <w:tcW w:w="3970" w:type="dxa"/>
            <w:vAlign w:val="center"/>
          </w:tcPr>
          <w:p>
            <w:pPr>
              <w:spacing w:before="60" w:after="60"/>
            </w:pPr>
            <w:r>
              <w:rPr>
                <w:sz w:val="19"/>
                <w:szCs w:val="19"/>
              </w:rPr>
              <w:t xml:space="preserve">-</w:t>
            </w:r>
          </w:p>
        </w:tc>
      </w:tr>
    </w:tbl>
    <w:p>
      <w:pPr>
        <w:spacing w:before="80" w:after="240"/>
      </w:pPr>
      <w:r>
        <w:rPr>
          <w:color w:val="A6A6A6"/>
          <w:sz w:val="17"/>
          <w:szCs w:val="17"/>
        </w:rPr>
        <w:t xml:space="preserve">표의 확신도는 본문 각 리스크 절의 확신도 표기를 그대로 요약한 것입니다. 상세 근거 수치와 판별 테스트는 본문을 참조하십시오.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대상 기업</w:t>
      </w:r>
      <w:r>
        <w:t xml:space="preserve">: (주)KB금융지주 (종목코드 105560, 대표 양종희)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기준 연도 / 재무제표 구분</w:t>
      </w:r>
      <w:r>
        <w:t xml:space="preserve">: 2025 사업연도 · 연결(CFS)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거시 환경</w:t>
      </w:r>
      <w:r>
        <w:t xml:space="preserve">: 한국은행 기준금리 2.5% (2026-07-09 기준), 진단 구간 내 변동 0%p — 금리 급변 스트레스는 관측되지 않음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판정 요약</w:t>
      </w:r>
      <w:r>
        <w:t xml:space="preserve">: 결정론 신호 6종 중 </w:t>
      </w:r>
      <w:r>
        <w:rPr>
          <w:b/>
        </w:rPr>
        <w:t xml:space="preserve">1종(E5)만 발화</w:t>
      </w:r>
      <w:r>
        <w:t xml:space="preserve">. 나머지 재무 축(E1·E2·E3·E4·E8)은 임계값 미달 또는 계정 미검출로 미발화</w:t>
      </w:r>
    </w:p>
    <w:p>
      <w:pPr>
        <w:pStyle w:val="Heading1"/>
      </w:pPr>
      <w:r>
        <w:rPr>
          <w:b/>
          <w:color w:val="1B2A4A"/>
        </w:rPr>
        <w:t xml:space="preserve">리스크 1 — 공시 행간: 정정 공시 반복 패턴 (E5)</w:t>
      </w:r>
    </w:p>
    <w:p>
      <w:pPr>
        <w:jc w:val="both"/>
      </w:pPr>
      <w:r>
        <w:rPr>
          <w:b/>
        </w:rPr>
        <w:t xml:space="preserve">결론.</w:t>
      </w:r>
      <w:r>
        <w:t xml:space="preserve"> 최근 90일 공시 흐름에서 정정 공시가 임계 기준을 넘는 빈도로 관측됩니다. 재무 실체의 훼손이 아니라 </w:t>
      </w:r>
      <w:r>
        <w:rPr>
          <w:b/>
        </w:rPr>
        <w:t xml:space="preserve">공시 산출·검수 프로세스의 품질 리스크</w:t>
      </w:r>
      <w:r>
        <w:t xml:space="preserve">로 다뤄야 하는 신호입니다.</w:t>
      </w:r>
    </w:p>
    <w:p>
      <w:pPr>
        <w:jc w:val="both"/>
      </w:pPr>
      <w:r>
        <w:rPr>
          <w:b/>
        </w:rPr>
        <w:t xml:space="preserve">근거(수치·출처).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진단 구간 90일 내 총공시 52건 중 정정 공시 7건 (출처: DART 공시목록, E5 결정론 파생)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발화 기준: 정정 공시 최소 3건 (`correctionsMin=3`) — 관측치 7건이 이를 상회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풍문·해명성 공시 및 감사 관련 플래그는 이번 구간에서 검출되지 않음(0건)</w:t>
      </w:r>
    </w:p>
    <w:p>
      <w:pPr>
        <w:jc w:val="both"/>
      </w:pPr>
      <w:r>
        <w:rPr>
          <w:b/>
        </w:rPr>
        <w:t xml:space="preserve">왜 문제인가(인과 사슬).</w:t>
      </w:r>
      <w:r>
        <w:t xml:space="preserve"> 정정 공시의 반복은 최초 공시 시점의 수치·문구가 확정 정보로 굳지 못했다는 징후입니다. 공시 검수 체인의 어느 단계에서 오류가 반복 유입되면, 시장은 회사가 내보내는 1차 정보의 신뢰도를 할인하기 시작하고, 이는 곧 IR 커뮤니케이션 비용과 감독당국의 소명 요구 부담으로 전이됩니다. 금융지주의 신뢰 자본이 훼손되는 경로는 대개 재무 숫자 자체가 아니라 이런 정보 전달의 일관성에서 먼저 벌어집니다.</w:t>
      </w:r>
    </w:p>
    <w:p>
      <w:pPr>
        <w:jc w:val="both"/>
      </w:pPr>
      <w:r>
        <w:rPr>
          <w:b/>
          <w:color w:val="1B2A4A"/>
        </w:rPr>
        <w:t xml:space="preserve">확신도. </w:t>
      </w:r>
      <w:r>
        <w:rPr>
          <w:b/>
          <w:color w:val="B45309"/>
        </w:rPr>
        <w:t xml:space="preserve">가설</w:t>
      </w:r>
      <w:r>
        <w:t xml:space="preserve">.** 정정 7건이라는 사실 자체는 확인되었으나, 그 원인이 단순 오기(誤記) 수준인지 실질적 내부통제 약화인지는 이 신호만으로 판별되지 않습니다. 정정의 성격 분류가 선행되어야 리스크 등급이 확정됩니다.</w:t>
      </w:r>
    </w:p>
    <w:p>
      <w:pPr>
        <w:jc w:val="both"/>
      </w:pPr>
      <w:r>
        <w:rPr>
          <w:b/>
        </w:rPr>
        <w:t xml:space="preserve">판별 테스트.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정정 7건을 사유별로 분류 — 단순 오기·서식 정정 vs. 수치·실적 변경. 후자의 비중이 유의하면 리스크 등급 상향.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각 정정의 원(原)공시 부서·산출 시스템을 역추적해 특정 지점에 오류가 집중되는지 확인.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해명성 대응이 없었던 점이 유지되는지(외부 보도 대응 부재) 다음 분기까지 재관측 — 정정이 내부 요인에 국한되는지 검증.</w:t>
      </w:r>
    </w:p>
    <w:p>
      <w:pPr>
        <w:jc w:val="both"/>
      </w:pPr>
      <w:r>
        <w:rPr>
          <w:b/>
        </w:rPr>
        <w:t xml:space="preserve">권고 조치.</w:t>
      </w:r>
      <w:r>
        <w:t xml:space="preserve"> 공시 검수 체인(초안→법무·회계 리뷰→공시책임자 승인)의 단계별 책임과 이중 확인 지점을 점검하고, 정정 사유 분류 결과를 다음 이사회 보고 안건으로 상정하실 것을 권고드립니다.</w:t>
      </w:r>
    </w:p>
    <w:p>
      <w:pPr>
        <w:pStyle w:val="Heading1"/>
      </w:pPr>
      <w:r>
        <w:rPr>
          <w:b/>
          <w:color w:val="1B2A4A"/>
        </w:rPr>
        <w:t xml:space="preserve">미발화 신호 (임계값 미달 — 리스크 아님)</w:t>
      </w:r>
    </w:p>
    <w:p>
      <w:pPr>
        <w:jc w:val="both"/>
      </w:pPr>
      <w:r>
        <w:t xml:space="preserve">아래 축은 이번 진단에서 리스크로 성립하지 않았습니다. 참고 맥락으로만 정성 서술합니다.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수익-채권 괴리(E1)·재고 적체(E2)·유동성(E4)</w:t>
      </w:r>
      <w:r>
        <w:t xml:space="preserve">: 금융지주 재무제표 특성상 매출액·매출채권·재고자산·유동자산/유동부채 계정이 통상적 형태로 검출되지 않아 </w:t>
      </w:r>
      <w:r>
        <w:rPr>
          <w:b/>
        </w:rPr>
        <w:t xml:space="preserve">평가 불가(미발화)</w:t>
      </w:r>
      <w:r>
        <w:t xml:space="preserve">. 제조·유통 기업 대상의 임계값을 그대로 적용하기 어려운 영역입니다.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차입 확대·이자 부담(E3)</w:t>
      </w:r>
      <w:r>
        <w:t xml:space="preserve">: 평가는 가능했으나 차입 증가율이 발화 임계(30%)에 크게 못 미쳐 </w:t>
      </w:r>
      <w:r>
        <w:rPr>
          <w:b/>
        </w:rPr>
        <w:t xml:space="preserve">임계값 미달로 미발화</w:t>
      </w:r>
      <w:r>
        <w:t xml:space="preserve">. 다만 차입금 만기 구조·금리 구성·약정 조건은 정기 점검 항목으로 유지하시길 권합니다.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발생액 품질(E8)</w:t>
      </w:r>
      <w:r>
        <w:t xml:space="preserve">: 이익-현금 괴리 지표가 발화 임계 이내로 </w:t>
      </w:r>
      <w:r>
        <w:rPr>
          <w:b/>
        </w:rPr>
        <w:t xml:space="preserve">미발화</w:t>
      </w:r>
      <w:r>
        <w:t xml:space="preserve">. 이익이 현금흐름의 뒷받침을 벗어나는 지속적 괴리는 관측되지 않았습니다.</w:t>
      </w:r>
    </w:p>
    <w:p>
      <w:pPr>
        <w:pStyle w:val="Heading1"/>
      </w:pPr>
      <w:r>
        <w:rPr>
          <w:b/>
          <w:color w:val="1B2A4A"/>
        </w:rPr>
        <w:t xml:space="preserve">확인 범위와 한계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본 브리핑은 </w:t>
      </w:r>
      <w:r>
        <w:rPr>
          <w:b/>
        </w:rPr>
        <w:t xml:space="preserve">2025 연결 공시(DART)와 거시지표(한국은행)의 결정론 파생 신호</w:t>
      </w:r>
      <w:r>
        <w:t xml:space="preserve">에 근거하며, 내부 CSV(거래처 집중·원가·공시 대사)·뉴스·시장·문서 축은 이번 진단에 </w:t>
      </w:r>
      <w:r>
        <w:rPr>
          <w:b/>
        </w:rPr>
        <w:t xml:space="preserve">제공되지 않아 미포함</w:t>
      </w:r>
      <w:r>
        <w:t xml:space="preserve">입니다. 따라서 미제공 축에서 발생 가능한 리스크는 본 문서가 다루지 못합니다.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발화한 E5는 </w:t>
      </w:r>
      <w:r>
        <w:rPr>
          <w:b/>
        </w:rPr>
        <w:t xml:space="preserve">공시 빈도 패턴</w:t>
      </w:r>
      <w:r>
        <w:t xml:space="preserve">을 포착한 것으로, 정정의 실질 내용까지 판정한 것은 아닙니다. 위 판별 테스트로 사유 분류가 완료되기 전까지는 가설 단계의 관찰로 취급하시길 바랍니다.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금융지주 업종에 특화된 임계값 프리셋은 적용되지 않았으며(`presetUsed: null`), 재무 축 일부가 평가 불가로 남은 점은 업종 정합성의 한계로 함께 기록합니다.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기준금리 등 거시 환경은 진단 구간 내 변동이 없어, 외생 충격 요인은 이번 판정에 반영되지 않았습니다.</w:t>
      </w:r>
    </w:p>
    <w:sectPr>
      <w:headerReference w:type="default" r:id="rIdHeader"/>
      <w:footerReference w:type="default" r:id="rIdFooter"/>
      <w:pgSz w:w="11906" w:h="16838"/>
      <w:pgMar w:top="1418" w:right="1418" w:bottom="1418" w:left="1418" w:header="709" w:footer="709" w:gutter="0"/>
      <w:titlePg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4" w:color="D9D9D9"/>
      </w:pBdr>
      <w:tabs>
        <w:tab w:val="right" w:pos="9070"/>
      </w:tabs>
      <w:spacing w:after="0"/>
    </w:pPr>
    <w:r>
      <w:rPr>
        <w:color w:val="A6A6A6"/>
        <w:sz w:val="16"/>
      </w:rPr>
      <w:t xml:space="preserve">Management risk briefing | Not investment advice</w:t>
    </w:r>
    <w:r>
      <w:rPr>
        <w:color w:val="A6A6A6"/>
        <w:sz w:val="16"/>
      </w:rPr>
      <w:tab/>
    </w:r>
    <w:r>
      <w:fldChar w:fldCharType="begin"/>
    </w:r>
    <w:r>
      <w:rPr>
        <w:color w:val="A6A6A6"/>
        <w:sz w:val="16"/>
      </w:rPr>
      <w:instrText xml:space="preserve"> PAGE </w:instrText>
    </w:r>
    <w:r>
      <w:fldChar w:fldCharType="end"/>
    </w:r>
  </w:p>
</w:ftr>
</file>

<file path=word/header1.xml><?xml version="1.0" encoding="utf-8"?>
<w:hdr xmlns:w="http://schemas.openxmlformats.org/wordprocessingml/2006/main">
  <w:p>
    <w:pPr>
      <w:pBdr>
        <w:bottom w:val="single" w:sz="4" w:space="4" w:color="D9D9D9"/>
      </w:pBdr>
      <w:tabs>
        <w:tab w:val="right" w:pos="9070"/>
      </w:tabs>
      <w:spacing w:after="0"/>
    </w:pPr>
    <w:r>
      <w:rPr>
        <w:color w:val="A6A6A6"/>
        <w:sz w:val="16"/>
      </w:rPr>
      <w:t xml:space="preserve">CEO Risk Briefing</w:t>
    </w:r>
    <w:r>
      <w:rPr>
        <w:color w:val="A6A6A6"/>
        <w:sz w:val="16"/>
      </w:rPr>
      <w:tab/>
    </w:r>
    <w:r>
      <w:rPr>
        <w:b/>
        <w:color w:val="D04A02"/>
        <w:sz w:val="16"/>
      </w:rPr>
      <w:t>Confidential</w:t>
    </w:r>
  </w:p>
</w:hdr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425" w:hanging="212"/>
      </w:pPr>
      <w:rPr>
        <w:color w:val="D04A02"/>
      </w:rPr>
    </w:lvl>
    <w:lvl w:ilvl="1">
      <w:numFmt w:val="bullet"/>
      <w:lvlText w:val="–"/>
      <w:pPr>
        <w:ind w:left="850" w:hanging="212"/>
      </w:pPr>
      <w:rPr>
        <w:color w:val="595959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Malgun Gothic" w:eastAsia="Malgun Gothic" w:hAnsi="Malgun Gothic" w:cs="Malgun Gothic"/>
        <w:sz w:val="21"/>
        <w:szCs w:val="21"/>
        <w:lang w:val="ko-KR" w:eastAsia="ko-KR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400" w:after="160"/>
      <w:pBdr>
        <w:bottom w:val="single" w:sz="8" w:space="4" w:color="D04A02"/>
      </w:pBdr>
      <w:outlineLvl w:val="0"/>
    </w:pPr>
    <w:rPr>
      <w:b/>
      <w:color w:val="1B2A4A"/>
      <w:sz w:val="27"/>
      <w:szCs w:val="27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color w:val="1B2A4A"/>
      <w:sz w:val="23"/>
      <w:szCs w:val="23"/>
    </w:rPr>
  </w:style>
  <w:style w:type="paragraph" w:styleId="ListParagraph">
    <w:name w:val="List Paragraph"/>
    <w:basedOn w:val="Normal"/>
    <w:pPr>
      <w:spacing w:after="80"/>
      <w:ind w:left="425"/>
    </w:pPr>
  </w:style>
  <w:style w:type="character" w:styleId="Hyperlink">
    <w:name w:val="Hyperlink"/>
    <w:rPr>
      <w:color w:val="1155CC"/>
      <w:u w:val="single"/>
    </w:r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Numbering" Type="http://schemas.openxmlformats.org/officeDocument/2006/relationships/numbering" Target="numbering.xml"/>
<Relationship Id="rIdHeader" Type="http://schemas.openxmlformats.org/officeDocument/2006/relationships/header" Target="header1.xml"/>
<Relationship Id="rIdFooter" Type="http://schemas.openxmlformats.org/officeDocument/2006/relationships/footer" Target="footer1.xml"/>
<Relationship Id="rIdSnapshot" Type="http://schemas.openxmlformats.org/officeDocument/2006/relationships/image" Target="media/executive-summary.png"/>

</Relationships>
</file>

<file path=docProps/app.xml><?xml version="1.0" encoding="utf-8"?>
<Properties xmlns="http://schemas.openxmlformats.org/officeDocument/2006/extended-properties">
  <Application>trusted-ceo-agent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KB금융지주 CEO 서명용 리스크 브리핑</dc:title>
  <dc:creator>Trusted CEO Agent</dc:creator>
  <cp:lastModifiedBy>Trusted CEO Agent</cp:lastModifiedBy>
  <dcterms:created xsi:type="dcterms:W3CDTF">2026-07-11T00:00:00Z</dcterms:created>
  <dcterms:modified xsi:type="dcterms:W3CDTF">2026-07-11T00:00:00Z</dcterms:modified>
</cp:coreProperties>
</file>