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shd w:val="clear" w:color="auto" w:fill="D04A02"/>
        <w:spacing w:before="0" w:after="480"/>
      </w:pPr>
      <w:r>
        <w:t xml:space="preserve"> </w:t>
      </w:r>
    </w:p>
    <w:p>
      <w:pPr>
        <w:spacing w:before="1200" w:after="120"/>
      </w:pPr>
      <w:r>
        <w:rPr>
          <w:color w:val="595959"/>
          <w:sz w:val="22"/>
          <w:szCs w:val="22"/>
        </w:rPr>
        <w:t xml:space="preserve">CEO 경영 리스크 브리핑</w:t>
      </w:r>
    </w:p>
    <w:p>
      <w:pPr>
        <w:spacing w:after="360"/>
      </w:pPr>
      <w:r>
        <w:rPr>
          <w:b/>
          <w:color w:val="1B2A4A"/>
          <w:sz w:val="52"/>
          <w:szCs w:val="52"/>
        </w:rPr>
        <w:t xml:space="preserve">CEO 서명용 리스크 브리핑 — (주)엔씨</w:t>
      </w:r>
    </w:p>
    <w:p>
      <w:pPr>
        <w:spacing w:after="160"/>
      </w:pPr>
      <w:r>
        <w:rPr>
          <w:b/>
          <w:color w:val="D04A02"/>
          <w:sz w:val="20"/>
          <w:szCs w:val="20"/>
        </w:rPr>
        <w:t xml:space="preserve">대외비 · Confidential</w:t>
      </w:r>
    </w:p>
    <w:p>
      <w:pPr>
        <w:spacing w:after="600"/>
      </w:pPr>
      <w:r>
        <w:rPr>
          <w:color w:val="595959"/>
          <w:sz w:val="20"/>
          <w:szCs w:val="20"/>
        </w:rPr>
        <w:t xml:space="preserve">작성일 2026-07-14</w:t>
      </w:r>
    </w:p>
    <w:p>
      <w:pPr>
        <w:spacing w:before="2400" w:after="0"/>
      </w:pPr>
      <w:r>
        <w:rPr>
          <w:color w:val="A6A6A6"/>
          <w:sz w:val="16"/>
          <w:szCs w:val="16"/>
        </w:rPr>
        <w:t xml:space="preserve">본 보고서는 trusted-ceo-agent 진단 파이프라인(불변식 게이트 → 결정론 신호 파생 → 자동 채점)을 통과한 데이터에 기반해 작성되었으며, CEO 경영 판단 보조 자료로서 투자자문·투자권유가 아닙니다.</w:t>
      </w:r>
    </w:p>
    <w:p>
      <w:r>
        <w:br w:type="page"/>
      </w:r>
    </w:p>
    <w:p>
      <w:pPr>
        <w:pStyle w:val="Heading1"/>
      </w:pPr>
      <w:r>
        <w:rPr>
          <w:b/>
          <w:color w:val="1B2A4A"/>
        </w:rPr>
        <w:t xml:space="preserve">Executive Snapshot</w:t>
      </w:r>
    </w:p>
    <w:p>
      <w:pPr>
        <w:jc w:val="center"/>
        <w:spacing w:before="120" w:after="240"/>
      </w:pPr>
      <w:r>
        <w:drawing>
          <wp:inline xmlns:wp="http://schemas.openxmlformats.org/drawingml/2006/wordprocessingDrawing" distT="0" distB="0" distL="0" distR="0">
            <wp:extent cx="5943600" cy="3714750"/>
            <wp:effectExtent l="0" t="0" r="0" b="0"/>
            <wp:docPr id="1" name="Executive Snap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xecutive-summary.png"/>
                    <pic:cNvPicPr/>
                  </pic:nvPicPr>
                  <pic:blipFill>
                    <a:blip xmlns:r="http://schemas.openxmlformats.org/officeDocument/2006/relationships" r:embed="rIdSnapshot"/>
                    <a:stretch>
                      <a:fillRect/>
                    </a:stretch>
                  </pic:blipFill>
                  <pic:spPr>
                    <a:xfrm>
                      <a:off x="0" y="0"/>
                      <a:ext cx="5943600" cy="3714750"/>
                    </a:xfrm>
                    <a:prstGeom prst="rect">
                      <a:avLst/>
                    </a:prstGeom>
                  </pic:spPr>
                </pic:pic>
              </a:graphicData>
            </a:graphic>
          </wp:inline>
        </w:drawing>
      </w:r>
    </w:p>
    <w:p>
      <w:r>
        <w:br w:type="page"/>
      </w:r>
    </w:p>
    <w:p>
      <w:pPr>
        <w:pStyle w:val="Heading1"/>
      </w:pPr>
      <w:r>
        <w:rPr>
          <w:b/>
          <w:color w:val="1B2A4A"/>
        </w:rPr>
        <w:t xml:space="preserve">핵심 리스크 한눈에 보기</w:t>
      </w:r>
    </w:p>
    <w:tbl>
      <w:tblPr>
        <w:tblStyle w:val="TableGrid"/>
        <w:tblW w:w="907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r>
        <w:tc>
          <w:tcPr>
            <w:tcW w:w="700" w:type="dxa"/>
            <w:shd w:val="clear" w:color="auto" w:fill="F2E8E0"/>
            <w:vAlign w:val="center"/>
          </w:tcPr>
          <w:p>
            <w:pPr>
              <w:spacing w:before="60" w:after="60"/>
            </w:pPr>
            <w:r>
              <w:rPr>
                <w:b/>
                <w:color w:val="1B2A4A"/>
                <w:sz w:val="19"/>
                <w:szCs w:val="19"/>
              </w:rPr>
              <w:t xml:space="preserve">구분</w:t>
            </w:r>
          </w:p>
        </w:tc>
        <w:tc>
          <w:tcPr>
            <w:tcW w:w="3300" w:type="dxa"/>
            <w:shd w:val="clear" w:color="auto" w:fill="F2E8E0"/>
            <w:vAlign w:val="center"/>
          </w:tcPr>
          <w:p>
            <w:pPr>
              <w:spacing w:before="60" w:after="60"/>
            </w:pPr>
            <w:r>
              <w:rPr>
                <w:b/>
                <w:color w:val="1B2A4A"/>
                <w:sz w:val="19"/>
                <w:szCs w:val="19"/>
              </w:rPr>
              <w:t xml:space="preserve">리스크</w:t>
            </w:r>
          </w:p>
        </w:tc>
        <w:tc>
          <w:tcPr>
            <w:tcW w:w="1100" w:type="dxa"/>
            <w:shd w:val="clear" w:color="auto" w:fill="F2E8E0"/>
            <w:vAlign w:val="center"/>
          </w:tcPr>
          <w:p>
            <w:pPr>
              <w:spacing w:before="60" w:after="60"/>
            </w:pPr>
            <w:r>
              <w:rPr>
                <w:b/>
                <w:color w:val="1B2A4A"/>
                <w:sz w:val="19"/>
                <w:szCs w:val="19"/>
              </w:rPr>
              <w:t xml:space="preserve">확신도</w:t>
            </w:r>
          </w:p>
        </w:tc>
        <w:tc>
          <w:tcPr>
            <w:tcW w:w="3970" w:type="dxa"/>
            <w:shd w:val="clear" w:color="auto" w:fill="F2E8E0"/>
            <w:vAlign w:val="center"/>
          </w:tcPr>
          <w:p>
            <w:pPr>
              <w:spacing w:before="60" w:after="60"/>
            </w:pPr>
            <w:r>
              <w:rPr>
                <w:b/>
                <w:color w:val="1B2A4A"/>
                <w:sz w:val="19"/>
                <w:szCs w:val="19"/>
              </w:rPr>
              <w:t xml:space="preserve">최우선 조치</w:t>
            </w:r>
          </w:p>
        </w:tc>
      </w:tr>
      <w:tr>
        <w:tc>
          <w:tcPr>
            <w:tcW w:w="700" w:type="dxa"/>
            <w:vAlign w:val="center"/>
          </w:tcPr>
          <w:p>
            <w:pPr>
              <w:spacing w:before="60" w:after="60"/>
            </w:pPr>
            <w:r>
              <w:rPr>
                <w:b/>
                <w:color w:val="D04A02"/>
                <w:sz w:val="19"/>
                <w:szCs w:val="19"/>
              </w:rPr>
              <w:t xml:space="preserve">R1</w:t>
            </w:r>
          </w:p>
        </w:tc>
        <w:tc>
          <w:tcPr>
            <w:tcW w:w="3300" w:type="dxa"/>
            <w:vAlign w:val="center"/>
          </w:tcPr>
          <w:p>
            <w:pPr>
              <w:spacing w:before="60" w:after="60"/>
            </w:pPr>
            <w:r>
              <w:rPr>
                <w:b/>
                <w:sz w:val="19"/>
                <w:szCs w:val="19"/>
              </w:rPr>
              <w:t xml:space="preserve">재고 자산 적체 (E2)</w:t>
            </w:r>
          </w:p>
        </w:tc>
        <w:tc>
          <w:tcPr>
            <w:tcW w:w="1100" w:type="dxa"/>
            <w:vAlign w:val="center"/>
          </w:tcPr>
          <w:p>
            <w:pPr>
              <w:spacing w:before="60" w:after="60"/>
            </w:pPr>
            <w:r>
              <w:rPr>
                <w:b/>
                <w:color w:val="B45309"/>
                <w:sz w:val="19"/>
                <w:szCs w:val="19"/>
              </w:rPr>
              <w:t xml:space="preserve">가설</w:t>
            </w:r>
          </w:p>
        </w:tc>
        <w:tc>
          <w:tcPr>
            <w:tcW w:w="3970" w:type="dxa"/>
            <w:vAlign w:val="center"/>
          </w:tcPr>
          <w:p>
            <w:pPr>
              <w:spacing w:before="60" w:after="60"/>
            </w:pPr>
            <w:r>
              <w:rPr>
                <w:sz w:val="19"/>
                <w:szCs w:val="19"/>
              </w:rPr>
              <w:t xml:space="preserve">CFO에게 재고 증가분의 품목별 내역과 평가손실 설정 근거를 요구하고, 다음 분기 재고자산회전율을 경영 대시보드 상시 지표로 승격할 것.</w:t>
            </w:r>
          </w:p>
        </w:tc>
      </w:tr>
      <w:tr>
        <w:tc>
          <w:tcPr>
            <w:tcW w:w="700" w:type="dxa"/>
            <w:vAlign w:val="center"/>
          </w:tcPr>
          <w:p>
            <w:pPr>
              <w:spacing w:before="60" w:after="60"/>
            </w:pPr>
            <w:r>
              <w:rPr>
                <w:b/>
                <w:color w:val="D04A02"/>
                <w:sz w:val="19"/>
                <w:szCs w:val="19"/>
              </w:rPr>
              <w:t xml:space="preserve">R2</w:t>
            </w:r>
          </w:p>
        </w:tc>
        <w:tc>
          <w:tcPr>
            <w:tcW w:w="3300" w:type="dxa"/>
            <w:vAlign w:val="center"/>
          </w:tcPr>
          <w:p>
            <w:pPr>
              <w:spacing w:before="60" w:after="60"/>
            </w:pPr>
            <w:r>
              <w:rPr>
                <w:b/>
                <w:sz w:val="19"/>
                <w:szCs w:val="19"/>
              </w:rPr>
              <w:t xml:space="preserve">공시 정정 빈발 (E5)</w:t>
            </w:r>
          </w:p>
        </w:tc>
        <w:tc>
          <w:tcPr>
            <w:tcW w:w="1100" w:type="dxa"/>
            <w:vAlign w:val="center"/>
          </w:tcPr>
          <w:p>
            <w:pPr>
              <w:spacing w:before="60" w:after="60"/>
            </w:pPr>
            <w:r>
              <w:rPr>
                <w:b/>
                <w:color w:val="1F7A33"/>
                <w:sz w:val="19"/>
                <w:szCs w:val="19"/>
              </w:rPr>
              <w:t xml:space="preserve">확인됨</w:t>
            </w:r>
          </w:p>
        </w:tc>
        <w:tc>
          <w:tcPr>
            <w:tcW w:w="3970" w:type="dxa"/>
            <w:vAlign w:val="center"/>
          </w:tcPr>
          <w:p>
            <w:pPr>
              <w:spacing w:before="60" w:after="60"/>
            </w:pPr>
            <w:r>
              <w:rPr>
                <w:sz w:val="19"/>
                <w:szCs w:val="19"/>
              </w:rPr>
              <w:t xml:space="preserve">공시 담당 임원에게 최근 90일 정정 6건의 사유 분류표를 요구하고, 수치 변경형 정정이 1건이라도 있으면 공시 전 재무·법무 이중 검수 절차를 의무화할 것.</w:t>
            </w:r>
          </w:p>
        </w:tc>
      </w:tr>
    </w:tbl>
    <w:p>
      <w:pPr>
        <w:spacing w:before="80" w:after="240"/>
      </w:pPr>
      <w:r>
        <w:rPr>
          <w:color w:val="A6A6A6"/>
          <w:sz w:val="17"/>
          <w:szCs w:val="17"/>
        </w:rPr>
        <w:t xml:space="preserve">표의 확신도는 본문 각 리스크 절의 확신도 표기를 그대로 요약한 것입니다. 상세 근거 수치와 판별 테스트는 본문을 참조하십시오.</w:t>
      </w:r>
    </w:p>
    <w:p>
      <w:pPr>
        <w:pStyle w:val="ListParagraph"/>
        <w:numPr>
          <w:ilvl w:val="0"/>
          <w:numId w:val="1"/>
        </w:numPr>
        <w:jc w:val="both"/>
      </w:pPr>
      <w:r>
        <w:rPr>
          <w:b/>
        </w:rPr>
        <w:t xml:space="preserve">대상 기업</w:t>
      </w:r>
      <w:r>
        <w:t xml:space="preserve">: (주)엔씨 (종목코드 036570, 사업자등록번호 220-81-43000)</w:t>
      </w:r>
    </w:p>
    <w:p>
      <w:pPr>
        <w:pStyle w:val="ListParagraph"/>
        <w:numPr>
          <w:ilvl w:val="0"/>
          <w:numId w:val="1"/>
        </w:numPr>
        <w:jc w:val="both"/>
      </w:pPr>
      <w:r>
        <w:rPr>
          <w:b/>
        </w:rPr>
        <w:t xml:space="preserve">대표이사</w:t>
      </w:r>
      <w:r>
        <w:t xml:space="preserve">: 김택진, 박병무 (공동대표이사)</w:t>
      </w:r>
    </w:p>
    <w:p>
      <w:pPr>
        <w:pStyle w:val="ListParagraph"/>
        <w:numPr>
          <w:ilvl w:val="0"/>
          <w:numId w:val="1"/>
        </w:numPr>
        <w:jc w:val="both"/>
      </w:pPr>
      <w:r>
        <w:rPr>
          <w:b/>
        </w:rPr>
        <w:t xml:space="preserve">분석 기준</w:t>
      </w:r>
      <w:r>
        <w:t xml:space="preserve">: 2025 사업연도 연결재무제표(CFS), 최근 90일 공시 창</w:t>
      </w:r>
    </w:p>
    <w:p>
      <w:pPr>
        <w:pStyle w:val="ListParagraph"/>
        <w:numPr>
          <w:ilvl w:val="0"/>
          <w:numId w:val="1"/>
        </w:numPr>
        <w:jc w:val="both"/>
      </w:pPr>
      <w:r>
        <w:rPr>
          <w:b/>
        </w:rPr>
        <w:t xml:space="preserve">거시 배경</w:t>
      </w:r>
      <w:r>
        <w:t xml:space="preserve">: 한국은행 기준금리 2.5% (2026-07-12 기준, 조회 구간 내 변동 없음) — 출처: 한국은행 ECOS</w:t>
      </w:r>
    </w:p>
    <w:p>
      <w:pPr>
        <w:pStyle w:val="ListParagraph"/>
        <w:numPr>
          <w:ilvl w:val="0"/>
          <w:numId w:val="1"/>
        </w:numPr>
        <w:jc w:val="both"/>
      </w:pPr>
      <w:r>
        <w:rPr>
          <w:b/>
        </w:rPr>
        <w:t xml:space="preserve">발화 신호</w:t>
      </w:r>
      <w:r>
        <w:t xml:space="preserve">: 외부 신호 2건 (E2 재고 자산 적체, E5 공시 행간)</w:t>
      </w:r>
    </w:p>
    <w:p>
      <w:pPr>
        <w:pStyle w:val="Heading1"/>
      </w:pPr>
      <w:r>
        <w:rPr>
          <w:b/>
          <w:color w:val="1B2A4A"/>
        </w:rPr>
        <w:t xml:space="preserve">리스크 1 — 재고 자산 적체 (E2)</w:t>
      </w:r>
    </w:p>
    <w:p>
      <w:pPr>
        <w:jc w:val="both"/>
      </w:pPr>
      <w:r>
        <w:rPr>
          <w:b/>
          <w:color w:val="1B2A4A"/>
        </w:rPr>
        <w:t xml:space="preserve">결론. </w:t>
      </w:r>
      <w:r>
        <w:t xml:space="preserve">매출이 줄어드는 국면에서 재고가 반대 방향으로 늘고 있어, 판매 계획과 생산·조달 계획의 정합이 깨졌을 가능성을 점검할 필요가 있다.</w:t>
      </w:r>
    </w:p>
    <w:p>
      <w:pPr>
        <w:spacing w:before="240" w:after="80"/>
      </w:pPr>
      <w:r>
        <w:rPr>
          <w:b/>
          <w:color w:val="1B2A4A"/>
          <w:sz w:val="22"/>
          <w:szCs w:val="22"/>
        </w:rPr>
        <w:t xml:space="preserve">**근거 (수치·출처)**</w:t>
      </w:r>
    </w:p>
    <w:p>
      <w:pPr>
        <w:pStyle w:val="ListParagraph"/>
        <w:numPr>
          <w:ilvl w:val="0"/>
          <w:numId w:val="1"/>
        </w:numPr>
        <w:jc w:val="both"/>
      </w:pPr>
      <w:r>
        <w:t xml:space="preserve">매출액 증감률 </w:t>
      </w:r>
      <w:r>
        <w:rPr>
          <w:b/>
        </w:rPr>
        <w:t xml:space="preserve">-4.5%</w:t>
      </w:r>
      <w:r>
        <w:t xml:space="preserve"> vs 재고자산 증감률 </w:t>
      </w:r>
      <w:r>
        <w:rPr>
          <w:b/>
        </w:rPr>
        <w:t xml:space="preserve">+22.8%</w:t>
      </w:r>
      <w:r>
        <w:t xml:space="preserve"> — 괴리 </w:t>
      </w:r>
      <w:r>
        <w:rPr>
          <w:b/>
        </w:rPr>
        <w:t xml:space="preserve">27.3%p</w:t>
      </w:r>
      <w:r>
        <w:t xml:space="preserve"> (출처: DART 정기보고서 연결재무제표, 진단 엔진 파생 계산)</w:t>
      </w:r>
    </w:p>
    <w:p>
      <w:pPr>
        <w:pStyle w:val="ListParagraph"/>
        <w:numPr>
          <w:ilvl w:val="0"/>
          <w:numId w:val="1"/>
        </w:numPr>
        <w:jc w:val="both"/>
      </w:pPr>
      <w:r>
        <w:t xml:space="preserve">재고자산 절대 규모는 조 단위 미만(0→0조 구간)으로 크지 않음 — 규모보다 </w:t>
      </w:r>
      <w:r>
        <w:rPr>
          <w:b/>
        </w:rPr>
        <w:t xml:space="preserve">방향의 역행</w:t>
      </w:r>
      <w:r>
        <w:t xml:space="preserve">이 신호의 본질</w:t>
      </w:r>
    </w:p>
    <w:p>
      <w:pPr>
        <w:jc w:val="both"/>
      </w:pPr>
      <w:r>
        <w:rPr>
          <w:b/>
        </w:rPr>
        <w:t xml:space="preserve">왜 문제인가 (인과 사슬)</w:t>
      </w:r>
      <w:r>
        <w:t xml:space="preserve">: 매출이 감소하면 정상적인 운영에서는 재고도 함께 줄거나 유지되는 것이 자연스럽다. 그런데 재고가 오히려 두 자릿수로 늘었다면, ① 수요 예측이 실제 판매 둔화를 따라가지 못해 조달·제작이 관성적으로 집행되고 있거나, ② 팔리지 않는 재고가 평가손실 인식 없이 자산으로 계속 계상되고 있을 가능성이 생긴다. 전자는 운전자본이 묶여 현금 창출력을 갉아먹고, 후자는 미래 어느 시점에 평가손실이 한꺼번에 손익으로 튀어나와 이익의 신뢰성을 훼손한다. 다만 신사업(예: 신규 IP 관련 상품) 대비 전략적 비축이라면 정당한 경영 판단일 수 있어, 원인 규명이 선행되어야 한다.</w:t>
      </w:r>
    </w:p>
    <w:p>
      <w:pPr>
        <w:jc w:val="both"/>
      </w:pPr>
      <w:r>
        <w:rPr>
          <w:b/>
          <w:color w:val="1B2A4A"/>
        </w:rPr>
        <w:t xml:space="preserve">확신도. </w:t>
      </w:r>
      <w:r>
        <w:rPr>
          <w:b/>
          <w:color w:val="B45309"/>
        </w:rPr>
        <w:t xml:space="preserve">가설</w:t>
      </w:r>
      <w:r>
        <w:t xml:space="preserve"> — 괴리 수치 자체는 공시 데이터에서 파생된 확인 값이나, 그 원인이 적체인지 전략적 축적인지는 내부 확인이 필요하다.</w:t>
      </w:r>
    </w:p>
    <w:p>
      <w:pPr>
        <w:jc w:val="both"/>
      </w:pPr>
      <w:r>
        <w:rPr>
          <w:b/>
          <w:color w:val="1B2A4A"/>
        </w:rPr>
        <w:t xml:space="preserve">판별 테스트. </w:t>
      </w:r>
    </w:p>
    <w:p>
      <w:pPr>
        <w:jc w:val="both"/>
      </w:pPr>
      <w:r>
        <w:t xml:space="preserve">1. 재무제표 주석의 재고자산 평가손실(충당금) 설정 추이 확인 — 재고 증가와 함께 충당금도 늘고 있다면 회사 스스로 적체를 인지하고 있다는 뜻</w:t>
      </w:r>
    </w:p>
    <w:p>
      <w:pPr>
        <w:jc w:val="both"/>
      </w:pPr>
      <w:r>
        <w:t xml:space="preserve">2. 제품/재공품/원재료 구성 변화 확인 — 완제품 비중이 커지고 있다면 판매 부진형 적체에 가깝다</w:t>
      </w:r>
    </w:p>
    <w:p>
      <w:pPr>
        <w:jc w:val="both"/>
      </w:pPr>
      <w:r>
        <w:t xml:space="preserve">3. 재고자산회전율 추이 — 회전일수가 늘고 있으면 적체 가설이 강화되고, 유지되면 반증된다</w:t>
      </w:r>
    </w:p>
    <w:p>
      <w:pPr>
        <w:jc w:val="both"/>
      </w:pPr>
      <w:r>
        <w:rPr>
          <w:b/>
          <w:color w:val="1B2A4A"/>
        </w:rPr>
        <w:t xml:space="preserve">권고 조치. </w:t>
      </w:r>
      <w:r>
        <w:t xml:space="preserve">CFO에게 재고 증가분의 품목별 내역과 평가손실 설정 근거를 요구하고, 다음 분기 재고자산회전율을 경영 대시보드 상시 지표로 승격할 것.</w:t>
      </w:r>
    </w:p>
    <w:p>
      <w:pPr>
        <w:pStyle w:val="Heading1"/>
      </w:pPr>
      <w:r>
        <w:rPr>
          <w:b/>
          <w:color w:val="1B2A4A"/>
        </w:rPr>
        <w:t xml:space="preserve">리스크 2 — 공시 정정 빈발 (E5)</w:t>
      </w:r>
    </w:p>
    <w:p>
      <w:pPr>
        <w:jc w:val="both"/>
      </w:pPr>
      <w:r>
        <w:rPr>
          <w:b/>
          <w:color w:val="1B2A4A"/>
        </w:rPr>
        <w:t xml:space="preserve">결론. </w:t>
      </w:r>
      <w:r>
        <w:t xml:space="preserve">최근 90일간 공시 정정이 반복되고 있어, 공시 생산·검수 체인의 품질 관리가 CEO의 확인이 필요한 수준이다.</w:t>
      </w:r>
    </w:p>
    <w:p>
      <w:pPr>
        <w:spacing w:before="240" w:after="80"/>
      </w:pPr>
      <w:r>
        <w:rPr>
          <w:b/>
          <w:color w:val="1B2A4A"/>
          <w:sz w:val="22"/>
          <w:szCs w:val="22"/>
        </w:rPr>
        <w:t xml:space="preserve">**근거 (수치·출처)**</w:t>
      </w:r>
    </w:p>
    <w:p>
      <w:pPr>
        <w:pStyle w:val="ListParagraph"/>
        <w:numPr>
          <w:ilvl w:val="0"/>
          <w:numId w:val="1"/>
        </w:numPr>
        <w:jc w:val="both"/>
      </w:pPr>
      <w:r>
        <w:t xml:space="preserve">최근 </w:t>
      </w:r>
      <w:r>
        <w:rPr>
          <w:b/>
        </w:rPr>
        <w:t xml:space="preserve">90일</w:t>
      </w:r>
      <w:r>
        <w:t xml:space="preserve"> 공시 창에서 전체 공시 </w:t>
      </w:r>
      <w:r>
        <w:rPr>
          <w:b/>
        </w:rPr>
        <w:t xml:space="preserve">20건</w:t>
      </w:r>
      <w:r>
        <w:t xml:space="preserve"> 중 정정 공시 </w:t>
      </w:r>
      <w:r>
        <w:rPr>
          <w:b/>
        </w:rPr>
        <w:t xml:space="preserve">6건</w:t>
      </w:r>
      <w:r>
        <w:t xml:space="preserve"> — 임계값(3건 이상)의 2배 (출처: DART 공시목록)</w:t>
      </w:r>
    </w:p>
    <w:p>
      <w:pPr>
        <w:pStyle w:val="ListParagraph"/>
        <w:numPr>
          <w:ilvl w:val="0"/>
          <w:numId w:val="1"/>
        </w:numPr>
        <w:jc w:val="both"/>
      </w:pPr>
      <w:r>
        <w:t xml:space="preserve">풍문·해명 공시와 감사 관련 특이 공시는 같은 창에서 확인되지 않음</w:t>
      </w:r>
    </w:p>
    <w:p>
      <w:pPr>
        <w:jc w:val="both"/>
      </w:pPr>
      <w:r>
        <w:rPr>
          <w:b/>
        </w:rPr>
        <w:t xml:space="preserve">왜 문제인가 (인과 사슬)</w:t>
      </w:r>
      <w:r>
        <w:t xml:space="preserve">: 정정 공시가 반복된다는 것은 시장에 나가는 정보가 처음부터 정확하지 않았다는 뜻이고, 그 뿌리는 대개 둘 중 하나다 — 내부 숫자 집계·검수 프로세스의 허점이거나, 확정되지 않은 내용을 서둘러 공시하는 의사결정 관행이다. 어느 쪽이든 누적되면 감독당국의 공시 품질 관심 대상이 되고, 투자자에게는 "이 회사 숫자는 한 번 더 확인해야 한다"는 할인 요인으로 작동한다. 특히 CEO 서명이 들어가는 정기보고서의 신뢰가 함께 잠식된다는 점이 핵심이다.</w:t>
      </w:r>
    </w:p>
    <w:p>
      <w:pPr>
        <w:jc w:val="both"/>
      </w:pPr>
      <w:r>
        <w:rPr>
          <w:b/>
          <w:color w:val="1B2A4A"/>
        </w:rPr>
        <w:t xml:space="preserve">확신도. </w:t>
      </w:r>
      <w:r>
        <w:rPr>
          <w:b/>
          <w:color w:val="1F7A33"/>
        </w:rPr>
        <w:t xml:space="preserve">확인됨</w:t>
      </w:r>
      <w:r>
        <w:t xml:space="preserve"> (정정 빈도 자체는 공시 목록에서 기계 확인된 사실 — 다만 그 원인이 단순 오기인지 실질 수치 변경인지는 분류가 필요)</w:t>
      </w:r>
    </w:p>
    <w:p>
      <w:pPr>
        <w:jc w:val="both"/>
      </w:pPr>
      <w:r>
        <w:rPr>
          <w:b/>
          <w:color w:val="1B2A4A"/>
        </w:rPr>
        <w:t xml:space="preserve">판별 테스트. </w:t>
      </w:r>
    </w:p>
    <w:p>
      <w:pPr>
        <w:jc w:val="both"/>
      </w:pPr>
      <w:r>
        <w:t xml:space="preserve">1. 정정 6건의 사유를 단순 오기 / 첨부 누락 / 수치 변경으로 분류 — 수치 변경형 정정이 섞여 있다면 재무 집계 프로세스 점검으로 격상</w:t>
      </w:r>
    </w:p>
    <w:p>
      <w:pPr>
        <w:jc w:val="both"/>
      </w:pPr>
      <w:r>
        <w:t xml:space="preserve">2. 정정이 특정 부서·특정 공시 유형(예: 자율공시 vs 정기보고서)에 몰려 있는지 확인 — 몰려 있다면 국소 프로세스 문제, 흩어져 있다면 전사 검수 체인 문제</w:t>
      </w:r>
    </w:p>
    <w:p>
      <w:pPr>
        <w:jc w:val="both"/>
      </w:pPr>
      <w:r>
        <w:t xml:space="preserve">3. 향후 분기 정정 발생률 추적 — 개선 조치 후에도 빈도가 유지되면 관행 문제로 판정</w:t>
      </w:r>
    </w:p>
    <w:p>
      <w:pPr>
        <w:jc w:val="both"/>
      </w:pPr>
      <w:r>
        <w:rPr>
          <w:b/>
          <w:color w:val="1B2A4A"/>
        </w:rPr>
        <w:t xml:space="preserve">권고 조치. </w:t>
      </w:r>
      <w:r>
        <w:t xml:space="preserve">공시 담당 임원에게 최근 90일 정정 6건의 사유 분류표를 요구하고, 수치 변경형 정정이 1건이라도 있으면 공시 전 재무·법무 이중 검수 절차를 의무화할 것.</w:t>
      </w:r>
    </w:p>
    <w:p>
      <w:pPr>
        <w:pStyle w:val="Heading1"/>
      </w:pPr>
      <w:r>
        <w:rPr>
          <w:b/>
          <w:color w:val="1B2A4A"/>
        </w:rPr>
        <w:t xml:space="preserve">미발화 신호 요약 (리스크 아님)</w:t>
      </w:r>
    </w:p>
    <w:p>
      <w:pPr>
        <w:pBdr>
          <w:left w:val="single" w:sz="24" w:space="8" w:color="D04A02"/>
        </w:pBdr>
        <w:shd w:val="clear" w:color="auto" w:fill="FBF4EE"/>
        <w:spacing w:before="60" w:after="120" w:line="276" w:lineRule="auto"/>
        <w:ind w:left="284" w:right="284"/>
        <w:jc w:val="both"/>
      </w:pPr>
      <w:r>
        <w:t xml:space="preserve">수익-채권 괴리(E1), 차입 확대·이자 부담(E3), 유동성 하락(E4), 발생액 품질(E8)은 이번 진단에서 </w:t>
      </w:r>
      <w:r>
        <w:rPr>
          <w:b/>
        </w:rPr>
        <w:t xml:space="preserve">임계값 미달로 미발화</w:t>
      </w:r>
      <w:r>
        <w:t xml:space="preserve">했다. 특히 차입·유동성 축이 조용하다는 점은 위 두 신호가 재무 구조 전반의 위기 신호라기보다 운영·프로세스 차원의 점검 신호임을 시사한다. 내부 CSV·뉴스·시장·문서 축은 이번 진단에 입력되지 않아 평가 범위 밖이다.</w:t>
      </w:r>
    </w:p>
    <w:p>
      <w:pPr>
        <w:pStyle w:val="Heading1"/>
      </w:pPr>
      <w:r>
        <w:rPr>
          <w:b/>
          <w:color w:val="1B2A4A"/>
        </w:rPr>
        <w:t xml:space="preserve">확인 범위와 한계</w:t>
      </w:r>
    </w:p>
    <w:p>
      <w:pPr>
        <w:pStyle w:val="ListParagraph"/>
        <w:numPr>
          <w:ilvl w:val="0"/>
          <w:numId w:val="1"/>
        </w:numPr>
        <w:jc w:val="both"/>
      </w:pPr>
      <w:r>
        <w:t xml:space="preserve">이 브리핑은 DART 공시(2025 사업연도 연결재무제표, 최근 90일 공시 목록)와 한국은행 ECOS 거시지표에서 </w:t>
      </w:r>
      <w:r>
        <w:rPr>
          <w:b/>
        </w:rPr>
        <w:t xml:space="preserve">결정론적으로 파생된 신호</w:t>
      </w:r>
      <w:r>
        <w:t xml:space="preserve">에 기반한다. 내부 회계 데이터(거래처·원가·계정 상세), 뉴스·평판, 시장 시세, 비정형 문서 축은 이번 진단에 포함되지 않았다.</w:t>
      </w:r>
    </w:p>
    <w:p>
      <w:pPr>
        <w:pStyle w:val="ListParagraph"/>
        <w:numPr>
          <w:ilvl w:val="0"/>
          <w:numId w:val="1"/>
        </w:numPr>
        <w:jc w:val="both"/>
      </w:pPr>
      <w:r>
        <w:t xml:space="preserve">발화한 두 신호는 모두 </w:t>
      </w:r>
      <w:r>
        <w:rPr>
          <w:b/>
        </w:rPr>
        <w:t xml:space="preserve">점검이 필요한 패턴</w:t>
      </w:r>
      <w:r>
        <w:t xml:space="preserve">이지 부정이나 오류의 판정이 아니다. 재고 괴리는 전략적 비축으로, 정정 빈발은 단순 오기 집중으로 각각 해명될 수 있으며, 위의 판별 테스트가 그 해명 경로를 제공한다.</w:t>
      </w:r>
    </w:p>
    <w:p>
      <w:pPr>
        <w:pStyle w:val="ListParagraph"/>
        <w:numPr>
          <w:ilvl w:val="0"/>
          <w:numId w:val="1"/>
        </w:numPr>
        <w:jc w:val="both"/>
      </w:pPr>
      <w:r>
        <w:t xml:space="preserve">임계값은 코스피 비금융 대형주 코호트 발화율로 보정된 휴리스틱이며, 게임·콘텐츠 업종 특성(재고 구조가 제조업과 다름)을 별도 프리셋으로 반영하지 않은 기본값 기준이다. 업종 프리셋 적용 시 판정이 달라질 수 있다.</w:t>
      </w:r>
    </w:p>
    <w:p>
      <w:pPr>
        <w:pStyle w:val="ListParagraph"/>
        <w:numPr>
          <w:ilvl w:val="0"/>
          <w:numId w:val="1"/>
        </w:numPr>
        <w:jc w:val="both"/>
      </w:pPr>
      <w:r>
        <w:t xml:space="preserve">본 브리핑의 수치는 진단 패킷의 파생 계산값을 그대로 인용했으며, 원 공시와의 대사는 판별 테스트 수행 시 함께 확인할 것을 권한다.</w:t>
      </w:r>
    </w:p>
    <w:sectPr>
      <w:headerReference w:type="default" r:id="rIdHeader"/>
      <w:footerReference w:type="default" r:id="rIdFooter"/>
      <w:pgSz w:w="11906" w:h="16838"/>
      <w:pgMar w:top="1418" w:right="1418" w:bottom="1418" w:left="1418" w:header="709" w:footer="709" w:gutter="0"/>
      <w:titlePg/>
    </w:sectPr>
  </w:body>
</w:document>
</file>

<file path=word/footer1.xml><?xml version="1.0" encoding="utf-8"?>
<w:ftr xmlns:w="http://schemas.openxmlformats.org/wordprocessingml/2006/main">
  <w:p>
    <w:pPr>
      <w:pBdr>
        <w:top w:val="single" w:sz="4" w:space="4" w:color="D9D9D9"/>
      </w:pBdr>
      <w:tabs>
        <w:tab w:val="right" w:pos="9070"/>
      </w:tabs>
      <w:spacing w:after="0"/>
    </w:pPr>
    <w:r>
      <w:rPr>
        <w:color w:val="A6A6A6"/>
        <w:sz w:val="16"/>
      </w:rPr>
      <w:t xml:space="preserve">Management risk briefing | Not investment advice</w:t>
    </w:r>
    <w:r>
      <w:rPr>
        <w:color w:val="A6A6A6"/>
        <w:sz w:val="16"/>
      </w:rPr>
      <w:tab/>
    </w:r>
    <w:r>
      <w:fldChar w:fldCharType="begin"/>
    </w:r>
    <w:r>
      <w:rPr>
        <w:color w:val="A6A6A6"/>
        <w:sz w:val="16"/>
      </w:rPr>
      <w:instrText xml:space="preserve"> PAGE </w:instrText>
    </w:r>
    <w:r>
      <w:fldChar w:fldCharType="end"/>
    </w:r>
  </w:p>
</w:ftr>
</file>

<file path=word/header1.xml><?xml version="1.0" encoding="utf-8"?>
<w:hdr xmlns:w="http://schemas.openxmlformats.org/wordprocessingml/2006/main">
  <w:p>
    <w:pPr>
      <w:pBdr>
        <w:bottom w:val="single" w:sz="4" w:space="4" w:color="D9D9D9"/>
      </w:pBdr>
      <w:tabs>
        <w:tab w:val="right" w:pos="9070"/>
      </w:tabs>
      <w:spacing w:after="0"/>
    </w:pPr>
    <w:r>
      <w:rPr>
        <w:color w:val="A6A6A6"/>
        <w:sz w:val="16"/>
      </w:rPr>
      <w:t xml:space="preserve">CEO Risk Briefing</w:t>
    </w:r>
    <w:r>
      <w:rPr>
        <w:color w:val="A6A6A6"/>
        <w:sz w:val="16"/>
      </w:rPr>
      <w:tab/>
    </w:r>
    <w:r>
      <w:rPr>
        <w:b/>
        <w:color w:val="D04A02"/>
        <w:sz w:val="16"/>
      </w:rPr>
      <w:t>Confidential</w:t>
    </w:r>
  </w:p>
</w:hdr>
</file>

<file path=word/numbering.xml><?xml version="1.0" encoding="utf-8"?>
<w:numbering xmlns:w="http://schemas.openxmlformats.org/wordprocessingml/2006/main">
  <w:abstractNum w:abstractNumId="0">
    <w:lvl w:ilvl="0">
      <w:numFmt w:val="bullet"/>
      <w:lvlText w:val="•"/>
      <w:pPr>
        <w:ind w:left="425" w:hanging="212"/>
      </w:pPr>
      <w:rPr>
        <w:color w:val="D04A02"/>
      </w:rPr>
    </w:lvl>
    <w:lvl w:ilvl="1">
      <w:numFmt w:val="bullet"/>
      <w:lvlText w:val="–"/>
      <w:pPr>
        <w:ind w:left="850" w:hanging="212"/>
      </w:pPr>
      <w:rPr>
        <w:color w:val="595959"/>
      </w:rPr>
    </w:lvl>
  </w:abstractNum>
  <w:num w:numId="1">
    <w:abstractNumId w:val="0"/>
  </w:num>
</w:numbering>
</file>

<file path=word/styles.xml><?xml version="1.0" encoding="utf-8"?>
<w:styles xmlns:w="http://schemas.openxmlformats.org/wordprocessingml/2006/main">
  <w:docDefaults>
    <w:rPrDefault>
      <w:rPr>
        <w:rFonts w:ascii="Malgun Gothic" w:eastAsia="Malgun Gothic" w:hAnsi="Malgun Gothic" w:cs="Malgun Gothic"/>
        <w:sz w:val="21"/>
        <w:szCs w:val="21"/>
        <w:lang w:val="ko-KR" w:eastAsia="ko-KR"/>
      </w:rPr>
    </w:rPrDefault>
    <w:pPrDefault>
      <w:pPr>
        <w:spacing w:after="140" w:line="276" w:lineRule="auto"/>
      </w:pPr>
    </w:pPrDefault>
  </w:docDefaults>
  <w:style w:type="paragraph" w:default="1" w:styleId="Normal">
    <w:name w:val="Normal"/>
  </w:style>
  <w:style w:type="paragraph" w:styleId="Heading1">
    <w:name w:val="heading 1"/>
    <w:basedOn w:val="Normal"/>
    <w:pPr>
      <w:keepNext/>
      <w:spacing w:before="400" w:after="160"/>
      <w:pBdr>
        <w:bottom w:val="single" w:sz="8" w:space="4" w:color="D04A02"/>
      </w:pBdr>
      <w:outlineLvl w:val="0"/>
    </w:pPr>
    <w:rPr>
      <w:b/>
      <w:color w:val="1B2A4A"/>
      <w:sz w:val="27"/>
      <w:szCs w:val="27"/>
    </w:rPr>
  </w:style>
  <w:style w:type="paragraph" w:styleId="Heading2">
    <w:name w:val="heading 2"/>
    <w:basedOn w:val="Normal"/>
    <w:pPr>
      <w:keepNext/>
      <w:spacing w:before="280" w:after="120"/>
      <w:outlineLvl w:val="1"/>
    </w:pPr>
    <w:rPr>
      <w:b/>
      <w:color w:val="1B2A4A"/>
      <w:sz w:val="23"/>
      <w:szCs w:val="23"/>
    </w:rPr>
  </w:style>
  <w:style w:type="paragraph" w:styleId="ListParagraph">
    <w:name w:val="List Paragraph"/>
    <w:basedOn w:val="Normal"/>
    <w:pPr>
      <w:spacing w:after="80"/>
      <w:ind w:left="425"/>
    </w:pPr>
  </w:style>
  <w:style w:type="character" w:styleId="Hyperlink">
    <w:name w:val="Hyperlink"/>
    <w:rPr>
      <w:color w:val="1155CC"/>
      <w:u w:val="single"/>
    </w:rPr>
  </w:style>
  <w:style w:type="table" w:styleId="TableGrid">
    <w:name w:val="Table Grid"/>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Numbering" Type="http://schemas.openxmlformats.org/officeDocument/2006/relationships/numbering" Target="numbering.xml"/>
<Relationship Id="rIdHeader" Type="http://schemas.openxmlformats.org/officeDocument/2006/relationships/header" Target="header1.xml"/>
<Relationship Id="rIdFooter" Type="http://schemas.openxmlformats.org/officeDocument/2006/relationships/footer" Target="footer1.xml"/>
<Relationship Id="rIdSnapshot" Type="http://schemas.openxmlformats.org/officeDocument/2006/relationships/image" Target="media/executive-summary.png"/>

</Relationships>
</file>

<file path=docProps/app.xml><?xml version="1.0" encoding="utf-8"?>
<Properties xmlns="http://schemas.openxmlformats.org/officeDocument/2006/extended-properties">
  <Application>trusted-ceo-agent</Application>
</Properties>
</file>

<file path=docProps/core.xml><?xml version="1.0" encoding="utf-8"?>
<cp:coreProperties xmlns:cp="http://schemas.openxmlformats.org/package/2006/metadata/core-properties" xmlns:dc="http://purl.org/dc/elements/1.1/" xmlns:dcterms="http://purl.org/dc/terms/" xmlns:xsi="http://www.w3.org/2001/XMLSchema-instance">
  <dc:title>CEO 서명용 리스크 브리핑 — (주)엔씨</dc:title>
  <dc:creator>Trusted CEO Agent</dc:creator>
  <cp:lastModifiedBy>Trusted CEO Agent</cp:lastModifiedBy>
  <dcterms:created xsi:type="dcterms:W3CDTF">2026-07-14T00:00:00Z</dcterms:created>
  <dcterms:modified xsi:type="dcterms:W3CDTF">2026-07-14T00:00:00Z</dcterms:modified>
</cp:coreProperties>
</file>