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CEO 서명용 리스크 브리핑 — (주)에스에프에이</w:t>
      </w:r>
    </w:p>
    <w:p>
      <w:pPr>
        <w:spacing w:after="160"/>
      </w:pPr>
      <w:r>
        <w:rPr>
          <w:b/>
          <w:color w:val="D04A02"/>
          <w:sz w:val="20"/>
          <w:szCs w:val="20"/>
        </w:rPr>
        <w:t xml:space="preserve">대외비 · Confidential</w:t>
      </w:r>
    </w:p>
    <w:p>
      <w:pPr>
        <w:spacing w:after="600"/>
      </w:pPr>
      <w:r>
        <w:rPr>
          <w:color w:val="595959"/>
          <w:sz w:val="20"/>
          <w:szCs w:val="20"/>
        </w:rPr>
        <w:t xml:space="preserve">작성일 2026-07-14</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Heading1"/>
      </w:pPr>
      <w:r>
        <w:rPr>
          <w:b/>
          <w:color w:val="1B2A4A"/>
        </w:rPr>
        <w:t xml:space="preserve">핵심 리스크 한눈에 보기</w:t>
      </w:r>
    </w:p>
    <w:tbl>
      <w:tblPr>
        <w:tblStyle w:val="TableGrid"/>
        <w:tblW w:w="907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r>
        <w:tc>
          <w:tcPr>
            <w:tcW w:w="700" w:type="dxa"/>
            <w:shd w:val="clear" w:color="auto" w:fill="F2E8E0"/>
            <w:vAlign w:val="center"/>
          </w:tcPr>
          <w:p>
            <w:pPr>
              <w:spacing w:before="60" w:after="60"/>
            </w:pPr>
            <w:r>
              <w:rPr>
                <w:b/>
                <w:color w:val="1B2A4A"/>
                <w:sz w:val="19"/>
                <w:szCs w:val="19"/>
              </w:rPr>
              <w:t xml:space="preserve">구분</w:t>
            </w:r>
          </w:p>
        </w:tc>
        <w:tc>
          <w:tcPr>
            <w:tcW w:w="3300" w:type="dxa"/>
            <w:shd w:val="clear" w:color="auto" w:fill="F2E8E0"/>
            <w:vAlign w:val="center"/>
          </w:tcPr>
          <w:p>
            <w:pPr>
              <w:spacing w:before="60" w:after="60"/>
            </w:pPr>
            <w:r>
              <w:rPr>
                <w:b/>
                <w:color w:val="1B2A4A"/>
                <w:sz w:val="19"/>
                <w:szCs w:val="19"/>
              </w:rPr>
              <w:t xml:space="preserve">리스크</w:t>
            </w:r>
          </w:p>
        </w:tc>
        <w:tc>
          <w:tcPr>
            <w:tcW w:w="1100" w:type="dxa"/>
            <w:shd w:val="clear" w:color="auto" w:fill="F2E8E0"/>
            <w:vAlign w:val="center"/>
          </w:tcPr>
          <w:p>
            <w:pPr>
              <w:spacing w:before="60" w:after="60"/>
            </w:pPr>
            <w:r>
              <w:rPr>
                <w:b/>
                <w:color w:val="1B2A4A"/>
                <w:sz w:val="19"/>
                <w:szCs w:val="19"/>
              </w:rPr>
              <w:t xml:space="preserve">확신도</w:t>
            </w:r>
          </w:p>
        </w:tc>
        <w:tc>
          <w:tcPr>
            <w:tcW w:w="3970" w:type="dxa"/>
            <w:shd w:val="clear" w:color="auto" w:fill="F2E8E0"/>
            <w:vAlign w:val="center"/>
          </w:tcPr>
          <w:p>
            <w:pPr>
              <w:spacing w:before="60" w:after="60"/>
            </w:pPr>
            <w:r>
              <w:rPr>
                <w:b/>
                <w:color w:val="1B2A4A"/>
                <w:sz w:val="19"/>
                <w:szCs w:val="19"/>
              </w:rPr>
              <w:t xml:space="preserve">최우선 조치</w:t>
            </w:r>
          </w:p>
        </w:tc>
      </w:tr>
      <w:tr>
        <w:tc>
          <w:tcPr>
            <w:tcW w:w="700" w:type="dxa"/>
            <w:vAlign w:val="center"/>
          </w:tcPr>
          <w:p>
            <w:pPr>
              <w:spacing w:before="60" w:after="60"/>
            </w:pPr>
            <w:r>
              <w:rPr>
                <w:b/>
                <w:color w:val="D04A02"/>
                <w:sz w:val="19"/>
                <w:szCs w:val="19"/>
              </w:rPr>
              <w:t xml:space="preserve">R1</w:t>
            </w:r>
          </w:p>
        </w:tc>
        <w:tc>
          <w:tcPr>
            <w:tcW w:w="3300" w:type="dxa"/>
            <w:vAlign w:val="center"/>
          </w:tcPr>
          <w:p>
            <w:pPr>
              <w:spacing w:before="60" w:after="60"/>
            </w:pPr>
            <w:r>
              <w:rPr>
                <w:b/>
                <w:sz w:val="19"/>
                <w:szCs w:val="19"/>
              </w:rPr>
              <w:t xml:space="preserve">차입 확대·이자 부담 [E3]</w:t>
            </w:r>
          </w:p>
        </w:tc>
        <w:tc>
          <w:tcPr>
            <w:tcW w:w="1100" w:type="dxa"/>
            <w:vAlign w:val="center"/>
          </w:tcPr>
          <w:p>
            <w:pPr>
              <w:spacing w:before="60" w:after="60"/>
            </w:pPr>
            <w:r>
              <w:rPr>
                <w:b/>
                <w:color w:val="595959"/>
                <w:sz w:val="19"/>
                <w:szCs w:val="19"/>
              </w:rPr>
              <w:t xml:space="preserve">-</w:t>
            </w:r>
          </w:p>
        </w:tc>
        <w:tc>
          <w:tcPr>
            <w:tcW w:w="3970" w:type="dxa"/>
            <w:vAlign w:val="center"/>
          </w:tcPr>
          <w:p>
            <w:pPr>
              <w:spacing w:before="60" w:after="60"/>
            </w:pPr>
            <w:r>
              <w:rPr>
                <w:sz w:val="19"/>
                <w:szCs w:val="19"/>
              </w:rPr>
              <w:t xml:space="preserve">CFO에게 차입 실행 건별 자금 용도 소명(투자 vs 운영)을 요구하고 이사회 보고 자료와 대사할 것</w:t>
            </w:r>
          </w:p>
        </w:tc>
      </w:tr>
    </w:tbl>
    <w:p>
      <w:pPr>
        <w:spacing w:before="80" w:after="240"/>
      </w:pPr>
      <w:r>
        <w:rPr>
          <w:color w:val="A6A6A6"/>
          <w:sz w:val="17"/>
          <w:szCs w:val="17"/>
        </w:rPr>
        <w:t xml:space="preserve">표의 확신도는 본문 각 리스크 절의 확신도 표기를 그대로 요약한 것입니다. 상세 근거 수치와 판별 테스트는 본문을 참조하십시오.</w:t>
      </w:r>
    </w:p>
    <w:p>
      <w:pPr>
        <w:pStyle w:val="ListParagraph"/>
        <w:numPr>
          <w:ilvl w:val="0"/>
          <w:numId w:val="1"/>
        </w:numPr>
        <w:jc w:val="both"/>
      </w:pPr>
      <w:r>
        <w:rPr>
          <w:b/>
        </w:rPr>
        <w:t xml:space="preserve">대상 기업</w:t>
      </w:r>
      <w:r>
        <w:t xml:space="preserve">: (주)에스에프에이 (대표이사 김상경, 사업자등록번호 609-81-35227, 종목코드 056190)</w:t>
      </w:r>
    </w:p>
    <w:p>
      <w:pPr>
        <w:pStyle w:val="ListParagraph"/>
        <w:numPr>
          <w:ilvl w:val="0"/>
          <w:numId w:val="1"/>
        </w:numPr>
        <w:jc w:val="both"/>
      </w:pPr>
      <w:r>
        <w:rPr>
          <w:b/>
        </w:rPr>
        <w:t xml:space="preserve">진단 기준</w:t>
      </w:r>
      <w:r>
        <w:t xml:space="preserve">: 2025 사업연도 연결(CFS) DART 공시 재무제표 · 최근 90일 공시 메타데이터 · 한국은행 기준금리</w:t>
      </w:r>
    </w:p>
    <w:p>
      <w:pPr>
        <w:pStyle w:val="ListParagraph"/>
        <w:numPr>
          <w:ilvl w:val="0"/>
          <w:numId w:val="1"/>
        </w:numPr>
        <w:jc w:val="both"/>
      </w:pPr>
      <w:r>
        <w:rPr>
          <w:b/>
        </w:rPr>
        <w:t xml:space="preserve">요약</w:t>
      </w:r>
      <w:r>
        <w:t xml:space="preserve">: 외부 진단 신호 6종 중 </w:t>
      </w:r>
      <w:r>
        <w:rPr>
          <w:b/>
        </w:rPr>
        <w:t xml:space="preserve">1종 발화 — E3 차입 확대·이자 부담</w:t>
      </w:r>
      <w:r>
        <w:t xml:space="preserve">. 나머지 5종(수익-채권 괴리, 재고 적체, 유동성, 공시 행간, 발생액 품질)은 임계값 미달로 미발화.</w:t>
      </w:r>
    </w:p>
    <w:p>
      <w:pPr>
        <w:pStyle w:val="Heading1"/>
      </w:pPr>
      <w:r>
        <w:rPr>
          <w:b/>
          <w:color w:val="1B2A4A"/>
        </w:rPr>
        <w:t xml:space="preserve">리스크 1 — 차입 확대·이자 부담 [E3]</w:t>
      </w:r>
    </w:p>
    <w:p>
      <w:pPr>
        <w:jc w:val="both"/>
      </w:pPr>
      <w:r>
        <w:rPr>
          <w:b/>
        </w:rPr>
        <w:t xml:space="preserve">결론</w:t>
      </w:r>
      <w:r>
        <w:t xml:space="preserve"> — 사실상 무차입에 가깝던 재무구조가 1년 새 차입금 약 0.1조 원 규모로 확대(+216.7%)되었습니다. 매출이 줄어든 해에 이루어진 차입 확대라는 점에서, 이 조달이 전략적 투자 재원인지 운영자금 보전인지를 CEO가 직접 확인할 필요가 있습니다.</w:t>
      </w:r>
    </w:p>
    <w:p>
      <w:pPr>
        <w:jc w:val="both"/>
      </w:pPr>
      <w:r>
        <w:rPr>
          <w:b/>
        </w:rPr>
        <w:t xml:space="preserve">근거 (수치 + 출처)</w:t>
      </w:r>
    </w:p>
    <w:p>
      <w:pPr>
        <w:pStyle w:val="ListParagraph"/>
        <w:numPr>
          <w:ilvl w:val="0"/>
          <w:numId w:val="1"/>
        </w:numPr>
        <w:jc w:val="both"/>
      </w:pPr>
      <w:r>
        <w:t xml:space="preserve">차입금 잔액 0조 → 0.1조 원, 증가율 </w:t>
      </w:r>
      <w:r>
        <w:rPr>
          <w:b/>
        </w:rPr>
        <w:t xml:space="preserve">216.7%</w:t>
      </w:r>
      <w:r>
        <w:t xml:space="preserve"> — DART 2025 연결 재무제표</w:t>
      </w:r>
    </w:p>
    <w:p>
      <w:pPr>
        <w:pStyle w:val="ListParagraph"/>
        <w:numPr>
          <w:ilvl w:val="0"/>
          <w:numId w:val="1"/>
        </w:numPr>
        <w:jc w:val="both"/>
      </w:pPr>
      <w:r>
        <w:t xml:space="preserve">이자보상배율(영업이익/이자지급) </w:t>
      </w:r>
      <w:r>
        <w:rPr>
          <w:b/>
        </w:rPr>
        <w:t xml:space="preserve">-3.9배 → 10.7배</w:t>
      </w:r>
      <w:r>
        <w:t xml:space="preserve"> — 동일 출처. 영업이익이 흑자로 돌아서며 배율 자체는 회복했으나, 임계 하한(10배) </w:t>
      </w:r>
      <w:r>
        <w:rPr>
          <w:b/>
        </w:rPr>
        <w:t xml:space="preserve">바로 위</w:t>
      </w:r>
      <w:r>
        <w:t xml:space="preserve">에 위치</w:t>
      </w:r>
    </w:p>
    <w:p>
      <w:pPr>
        <w:pStyle w:val="ListParagraph"/>
        <w:numPr>
          <w:ilvl w:val="0"/>
          <w:numId w:val="1"/>
        </w:numPr>
        <w:jc w:val="both"/>
      </w:pPr>
      <w:r>
        <w:t xml:space="preserve">거시: 한국은행 기준금리 </w:t>
      </w:r>
      <w:r>
        <w:rPr>
          <w:b/>
        </w:rPr>
        <w:t xml:space="preserve">2.5%</w:t>
      </w:r>
      <w:r>
        <w:t xml:space="preserve"> (2026-07-12 기준, 관측 구간 내 변동 0%p) — 금리 하락에 따른 이자 경감 효과를 기대하기 어려운 구간</w:t>
      </w:r>
    </w:p>
    <w:p>
      <w:pPr>
        <w:jc w:val="both"/>
      </w:pPr>
      <w:r>
        <w:rPr>
          <w:b/>
        </w:rPr>
        <w:t xml:space="preserve">왜 문제인가 (인과 사슬)</w:t>
      </w:r>
      <w:r>
        <w:t xml:space="preserve"> — 매출이 감소(-20.3%)한 해에 차입이 세 배 이상으로 늘었다는 것은, 영업이 만들어내는 현금만으로 투자·운전자본 소요를 감당하지 못해 외부 조달로 메우기 시작했을 가능성을 시사합니다. 차입의 절대 규모는 아직 크지 않지만, 핵심은 이자보상배율이 임계 하한 바로 위에 서 있다는 </w:t>
      </w:r>
      <w:r>
        <w:rPr>
          <w:b/>
        </w:rPr>
        <w:t xml:space="preserve">완충의 얇음</w:t>
      </w:r>
      <w:r>
        <w:t xml:space="preserve">입니다. 수주 산업 특성상 영업이익은 분기 단위로 출렁일 수 있고, 이익이 한 분기만 꺾여도 배율은 하한 아래로 내려갈 수 있습니다. 그 시점에 차입이 이미 늘어 있으면 이자 부담이 이익 변동성을 증폭시키는 구조로 전환됩니다. 즉 이 신호는 "지금 아프다"가 아니라 "충격 흡수 여력이 얇아졌다"는 경보입니다.</w:t>
      </w:r>
    </w:p>
    <w:p>
      <w:pPr>
        <w:jc w:val="both"/>
      </w:pPr>
      <w:r>
        <w:rPr>
          <w:b/>
        </w:rPr>
        <w:t xml:space="preserve">확신도</w:t>
      </w:r>
      <w:r>
        <w:t xml:space="preserve"> — </w:t>
      </w:r>
      <w:r>
        <w:rPr>
          <w:b/>
        </w:rPr>
        <w:t xml:space="preserve">확인됨</w:t>
      </w:r>
      <w:r>
        <w:t xml:space="preserve"> (차입 확대의 사실과 배율 수준은 공시 수치로 확인). 다만 확대의 성격 — 투자 조달인지 운영자금 보전인지 — 는 아래 판별 테스트 전까지 가설 영역으로 남습니다.</w:t>
      </w:r>
    </w:p>
    <w:p>
      <w:pPr>
        <w:jc w:val="both"/>
      </w:pPr>
      <w:r>
        <w:rPr>
          <w:b/>
          <w:color w:val="1B2A4A"/>
        </w:rPr>
        <w:t xml:space="preserve">판별 테스트. </w:t>
      </w:r>
    </w:p>
    <w:p>
      <w:pPr>
        <w:jc w:val="both"/>
      </w:pPr>
      <w:r>
        <w:t xml:space="preserve">1. </w:t>
      </w:r>
      <w:r>
        <w:rPr>
          <w:b/>
        </w:rPr>
        <w:t xml:space="preserve">차입금 만기 구조(재무제표 주석)</w:t>
      </w:r>
      <w:r>
        <w:t xml:space="preserve"> — 단기 비중이 높으면 운전자본 보전 성격, 장기 위주면 투자 조달 성격으로 리스크 등급이 갈립니다.</w:t>
      </w:r>
    </w:p>
    <w:p>
      <w:pPr>
        <w:jc w:val="both"/>
      </w:pPr>
      <w:r>
        <w:t xml:space="preserve">2. </w:t>
      </w:r>
      <w:r>
        <w:rPr>
          <w:b/>
        </w:rPr>
        <w:t xml:space="preserve">변동/고정 금리 구성</w:t>
      </w:r>
      <w:r>
        <w:t xml:space="preserve"> — 변동금리 비중이 높으면 기준금리 2.5% 고착 구간에서 이자 부담 민감도가 커집니다.</w:t>
      </w:r>
    </w:p>
    <w:p>
      <w:pPr>
        <w:jc w:val="both"/>
      </w:pPr>
      <w:r>
        <w:t xml:space="preserve">3. </w:t>
      </w:r>
      <w:r>
        <w:rPr>
          <w:b/>
        </w:rPr>
        <w:t xml:space="preserve">약정(covenant) 조건</w:t>
      </w:r>
      <w:r>
        <w:t xml:space="preserve"> — 이자보상배율·부채비율 연동 트리거 유무를 확인합니다. 배율이 하한 근처인 지금이 확인 적기입니다.</w:t>
      </w:r>
    </w:p>
    <w:p>
      <w:pPr>
        <w:jc w:val="both"/>
      </w:pPr>
      <w:r>
        <w:rPr>
          <w:b/>
          <w:color w:val="1B2A4A"/>
        </w:rPr>
        <w:t xml:space="preserve">권고 조치. </w:t>
      </w:r>
    </w:p>
    <w:p>
      <w:pPr>
        <w:pStyle w:val="ListParagraph"/>
        <w:numPr>
          <w:ilvl w:val="0"/>
          <w:numId w:val="1"/>
        </w:numPr>
        <w:jc w:val="both"/>
      </w:pPr>
      <w:r>
        <w:t xml:space="preserve">CFO에게 차입 실행 건별 자금 용도 소명(투자 vs 운영)을 요구하고 이사회 보고 자료와 대사할 것</w:t>
      </w:r>
    </w:p>
    <w:p>
      <w:pPr>
        <w:pStyle w:val="ListParagraph"/>
        <w:numPr>
          <w:ilvl w:val="0"/>
          <w:numId w:val="1"/>
        </w:numPr>
        <w:jc w:val="both"/>
      </w:pPr>
      <w:r>
        <w:t xml:space="preserve">분기 이자보상배율을 조기경보 지표로 상시 모니터링(하한 10배 기준)할 것</w:t>
      </w:r>
    </w:p>
    <w:p>
      <w:pPr>
        <w:pStyle w:val="ListParagraph"/>
        <w:numPr>
          <w:ilvl w:val="0"/>
          <w:numId w:val="1"/>
        </w:numPr>
        <w:jc w:val="both"/>
      </w:pPr>
      <w:r>
        <w:t xml:space="preserve">만기 도래 스케줄과 리파이낸싱 계획을 서면으로 확보할 것</w:t>
      </w:r>
    </w:p>
    <w:p>
      <w:pPr>
        <w:pStyle w:val="Heading1"/>
      </w:pPr>
      <w:r>
        <w:rPr>
          <w:b/>
          <w:color w:val="1B2A4A"/>
        </w:rPr>
        <w:t xml:space="preserve">미발화 신호 (참고 — 리스크 아님)</w:t>
      </w:r>
    </w:p>
    <w:p>
      <w:pPr>
        <w:jc w:val="both"/>
      </w:pPr>
      <w:r>
        <w:t xml:space="preserve">수익-채권 괴리(E1), 재고 자산 적체(E2), 유동성 하락(E4), 공시 행간(E5), 발생액 품질(E8)은 모두 임계값 미달로 미발화했습니다. 정성적으로 보면 영업현금흐름은 이익을 뒷받침하는 수준을 유지하고 있고, 재고는 오히려 감축 기조이며, 유동비율도 직전 하락에서 회복해 임계 하한을 상회합니다. 최근 90일 공시에서도 정정·해명 패턴이 임계값에 도달하지 않았습니다. 따라서 현 시점의 기계 신호 기준으로 이익의 질·단기 지급능력 축에 추가 리스크는 관찰되지 않습니다.</w:t>
      </w:r>
    </w:p>
    <w:p>
      <w:pPr>
        <w:pStyle w:val="Heading1"/>
      </w:pPr>
      <w:r>
        <w:rPr>
          <w:b/>
          <w:color w:val="1B2A4A"/>
        </w:rPr>
        <w:t xml:space="preserve">확인 범위와 한계</w:t>
      </w:r>
    </w:p>
    <w:p>
      <w:pPr>
        <w:pStyle w:val="ListParagraph"/>
        <w:numPr>
          <w:ilvl w:val="0"/>
          <w:numId w:val="1"/>
        </w:numPr>
        <w:jc w:val="both"/>
      </w:pPr>
      <w:r>
        <w:t xml:space="preserve">이 브리핑은 DART 공시 재무제표(2025 연결)·최근 90일 공시 메타데이터·한국은행 기준금리에서 </w:t>
      </w:r>
      <w:r>
        <w:rPr>
          <w:b/>
        </w:rPr>
        <w:t xml:space="preserve">결정론적으로 파생된 신호만</w:t>
      </w:r>
      <w:r>
        <w:t xml:space="preserve">을 근거로 합니다. 내부 CSV 축(거래처 집중·원가 왜곡·공시 대사), 뉴스 축, 시장 축, 비정형 문서 축은 이번 진단 범위에 포함되지 않았습니다.</w:t>
      </w:r>
    </w:p>
    <w:p>
      <w:pPr>
        <w:pStyle w:val="ListParagraph"/>
        <w:numPr>
          <w:ilvl w:val="0"/>
          <w:numId w:val="1"/>
        </w:numPr>
        <w:jc w:val="both"/>
      </w:pPr>
      <w:r>
        <w:t xml:space="preserve">발화 신호(E3)는 "차입이 확대되었고 이자 부담의 완충이 얇아졌다"는 관찰이며, 재무 건전성 훼손이나 부적정 회계에 대한 판정이 아닙니다. 확대의 성격은 판별 테스트로 확인하기 전까지 열려 있습니다.</w:t>
      </w:r>
    </w:p>
    <w:p>
      <w:pPr>
        <w:pStyle w:val="ListParagraph"/>
        <w:numPr>
          <w:ilvl w:val="0"/>
          <w:numId w:val="1"/>
        </w:numPr>
        <w:jc w:val="both"/>
      </w:pPr>
      <w:r>
        <w:t xml:space="preserve">연차 공시 기반 진단이므로 연중 분기별 차입 추이·이익 변동은 반영되지 않았습니다. 다음 분기보고서 공시 시점에 판별 테스트 1~3을 갱신할 것을 권고합니다.</w:t>
      </w:r>
    </w:p>
    <w:p>
      <w:pPr>
        <w:jc w:val="both"/>
      </w:pPr>
      <w:r>
        <w:rPr>
          <w:b/>
        </w:rPr>
        <w:t xml:space="preserve">대표이사 확인 서명</w:t>
      </w:r>
      <w:r>
        <w:t xml:space="preserve">: ______________________ (김상경) / 일자: ____________</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CEO 서명용 리스크 브리핑 — (주)에스에프에이</dc:title>
  <dc:creator>Trusted CEO Agent</dc:creator>
  <cp:lastModifiedBy>Trusted CEO Agent</cp:lastModifiedBy>
  <dcterms:created xsi:type="dcterms:W3CDTF">2026-07-14T00:00:00Z</dcterms:created>
  <dcterms:modified xsi:type="dcterms:W3CDTF">2026-07-14T00:00:00Z</dcterms:modified>
</cp:coreProperties>
</file>