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hd w:val="clear" w:color="auto" w:fill="D04A02"/>
        <w:spacing w:before="0" w:after="480"/>
      </w:pPr>
      <w:r>
        <w:t xml:space="preserve"> </w:t>
      </w:r>
    </w:p>
    <w:p>
      <w:pPr>
        <w:spacing w:before="1200" w:after="120"/>
      </w:pPr>
      <w:r>
        <w:rPr>
          <w:color w:val="595959"/>
          <w:sz w:val="22"/>
          <w:szCs w:val="22"/>
        </w:rPr>
        <w:t xml:space="preserve">CEO 경영 리스크 브리핑</w:t>
      </w:r>
    </w:p>
    <w:p>
      <w:pPr>
        <w:spacing w:after="360"/>
      </w:pPr>
      <w:r>
        <w:rPr>
          <w:b/>
          <w:color w:val="1B2A4A"/>
          <w:sz w:val="52"/>
          <w:szCs w:val="52"/>
        </w:rPr>
        <w:t xml:space="preserve">CEO 서명용 경영리스크 브리핑 — 에스케이하이닉스(주)</w:t>
      </w:r>
    </w:p>
    <w:p>
      <w:pPr>
        <w:spacing w:after="160"/>
      </w:pPr>
      <w:r>
        <w:rPr>
          <w:b/>
          <w:color w:val="D04A02"/>
          <w:sz w:val="20"/>
          <w:szCs w:val="20"/>
        </w:rPr>
        <w:t xml:space="preserve">대외비 · Confidential</w:t>
      </w:r>
    </w:p>
    <w:p>
      <w:pPr>
        <w:spacing w:after="600"/>
      </w:pPr>
      <w:r>
        <w:rPr>
          <w:color w:val="595959"/>
          <w:sz w:val="20"/>
          <w:szCs w:val="20"/>
        </w:rPr>
        <w:t xml:space="preserve">작성일 2026-07-11</w:t>
      </w:r>
    </w:p>
    <w:p>
      <w:pPr>
        <w:spacing w:before="2400" w:after="0"/>
      </w:pPr>
      <w:r>
        <w:rPr>
          <w:color w:val="A6A6A6"/>
          <w:sz w:val="16"/>
          <w:szCs w:val="16"/>
        </w:rPr>
        <w:t xml:space="preserve">본 보고서는 trusted-ceo-agent 진단 파이프라인(불변식 게이트 → 결정론 신호 파생 → 자동 채점)을 통과한 데이터에 기반해 작성되었으며, CEO 경영 판단 보조 자료로서 투자자문·투자권유가 아닙니다.</w:t>
      </w:r>
    </w:p>
    <w:p>
      <w:r>
        <w:br w:type="page"/>
      </w:r>
    </w:p>
    <w:p>
      <w:pPr>
        <w:pStyle w:val="Heading1"/>
      </w:pPr>
      <w:r>
        <w:rPr>
          <w:b/>
          <w:color w:val="1B2A4A"/>
        </w:rPr>
        <w:t xml:space="preserve">Executive Snapshot</w:t>
      </w:r>
    </w:p>
    <w:p>
      <w:pPr>
        <w:jc w:val="center"/>
        <w:spacing w:before="120" w:after="240"/>
      </w:pPr>
      <w:r>
        <w:drawing>
          <wp:inline xmlns:wp="http://schemas.openxmlformats.org/drawingml/2006/wordprocessingDrawing" distT="0" distB="0" distL="0" distR="0">
            <wp:extent cx="5943600" cy="3714750"/>
            <wp:effectExtent l="0" t="0" r="0" b="0"/>
            <wp:docPr id="1" name="Executive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ecutive-summary.png"/>
                    <pic:cNvPicPr/>
                  </pic:nvPicPr>
                  <pic:blipFill>
                    <a:blip xmlns:r="http://schemas.openxmlformats.org/officeDocument/2006/relationships" r:embed="rIdSnapshot"/>
                    <a:stretch>
                      <a:fillRect/>
                    </a:stretch>
                  </pic:blipFill>
                  <pic:spPr>
                    <a:xfrm>
                      <a:off x="0" y="0"/>
                      <a:ext cx="5943600" cy="3714750"/>
                    </a:xfrm>
                    <a:prstGeom prst="rect">
                      <a:avLst/>
                    </a:prstGeom>
                  </pic:spPr>
                </pic:pic>
              </a:graphicData>
            </a:graphic>
          </wp:inline>
        </w:drawing>
      </w:r>
    </w:p>
    <w:p>
      <w:r>
        <w:br w:type="page"/>
      </w:r>
    </w:p>
    <w:p>
      <w:pPr>
        <w:pStyle w:val="ListParagraph"/>
        <w:numPr>
          <w:ilvl w:val="0"/>
          <w:numId w:val="1"/>
        </w:numPr>
        <w:jc w:val="both"/>
      </w:pPr>
      <w:r>
        <w:t xml:space="preserve">대상: 에스케이하이닉스(주) (종목코드 000660, 대표 곽노정)</w:t>
      </w:r>
    </w:p>
    <w:p>
      <w:pPr>
        <w:pStyle w:val="ListParagraph"/>
        <w:numPr>
          <w:ilvl w:val="0"/>
          <w:numId w:val="1"/>
        </w:numPr>
        <w:jc w:val="both"/>
      </w:pPr>
      <w:r>
        <w:t xml:space="preserve">기준: FY2025 연결(CFS) 공시 / 최근 공시 90일 창 / 거시: 한국은행 기준금리 2.5%(변동 없음)</w:t>
      </w:r>
    </w:p>
    <w:p>
      <w:pPr>
        <w:pStyle w:val="ListParagraph"/>
        <w:numPr>
          <w:ilvl w:val="0"/>
          <w:numId w:val="1"/>
        </w:numPr>
        <w:jc w:val="both"/>
      </w:pPr>
      <w:r>
        <w:t xml:space="preserve">판정: </w:t>
      </w:r>
      <w:r>
        <w:rPr>
          <w:b/>
        </w:rPr>
        <w:t xml:space="preserve">결정론 신호 6종 중 1종(공시 행간) 발화</w:t>
      </w:r>
      <w:r>
        <w:t xml:space="preserve"> — 재무 축(수익·채권·재고·차입·유동성·발생액)은 전건 임계값 미달로 미발화</w:t>
      </w:r>
    </w:p>
    <w:p>
      <w:pPr>
        <w:pStyle w:val="Heading1"/>
      </w:pPr>
      <w:r>
        <w:rPr>
          <w:b/>
          <w:color w:val="1B2A4A"/>
        </w:rPr>
        <w:t xml:space="preserve">리스크 1 — 공시 커뮤니케이션 품질 (정정·해명 패턴)</w:t>
      </w:r>
    </w:p>
    <w:p>
      <w:pPr>
        <w:jc w:val="both"/>
      </w:pPr>
      <w:r>
        <w:rPr>
          <w:b/>
        </w:rPr>
        <w:t xml:space="preserve">결론.</w:t>
      </w:r>
      <w:r>
        <w:t xml:space="preserve"> 최근 90일 공시 흐름에서 정정 공시가 반복적으로 나타나고 외부 보도에 대한 해명 공시가 발생하는 등, </w:t>
      </w:r>
      <w:r>
        <w:rPr>
          <w:b/>
        </w:rPr>
        <w:t xml:space="preserve">공시 산출 프로세스의 신뢰성을 점검할 필요가 있는 패턴</w:t>
      </w:r>
      <w:r>
        <w:t xml:space="preserve">이 포착되었습니다. 재무 수치 자체의 이상이 아니라, 시장에 나가는 정보의 </w:t>
      </w:r>
      <w:r>
        <w:rPr>
          <w:b/>
        </w:rPr>
        <w:t xml:space="preserve">정확성·일관성</w:t>
      </w:r>
      <w:r>
        <w:t xml:space="preserve"> 측면 신호입니다.</w:t>
      </w:r>
    </w:p>
    <w:p>
      <w:pPr>
        <w:jc w:val="both"/>
      </w:pPr>
      <w:r>
        <w:rPr>
          <w:b/>
        </w:rPr>
        <w:t xml:space="preserve">근거(수치+출처).</w:t>
      </w:r>
      <w:r>
        <w:t xml:space="preserve"> 최근 90일 창 내 총공시 59건 중 정정 공시 9건, 그리고 "풍문또는보도에대한해명"(2026-06-16) 1건이 확인되었습니다(출처: DART 공시목록, 진단 신호 E5). 감사 관련 플래그(auditFlags)는 관측되지 않았습니다.</w:t>
      </w:r>
    </w:p>
    <w:p>
      <w:pPr>
        <w:jc w:val="both"/>
      </w:pPr>
      <w:r>
        <w:rPr>
          <w:b/>
        </w:rPr>
        <w:t xml:space="preserve">왜 문제인가(인과 사슬).</w:t>
      </w:r>
      <w:r>
        <w:t xml:space="preserve"> 정정 공시가 잦아지면 최초 공시 단계의 검수 체인에 누수가 있다는 뜻이고, 이는 시장이 회사 발표를 액면 그대로 신뢰하기 어렵게 만듭니다. 여기에 외부 보도에 대한 해명이 겹치면, 회사가 정보를 선제적으로 통제하기보다 시장 소문에 사후 대응하는 국면에 있음을 시사합니다. 두 흐름이 누적되면 실제 실적과 무관하게 </w:t>
      </w:r>
      <w:r>
        <w:rPr>
          <w:b/>
        </w:rPr>
        <w:t xml:space="preserve">공시 리스크 프리미엄</w:t>
      </w:r>
      <w:r>
        <w:t xml:space="preserve">이 붙어 자금조달·평판 비용으로 전이될 수 있습니다.</w:t>
      </w:r>
    </w:p>
    <w:p>
      <w:pPr>
        <w:jc w:val="both"/>
      </w:pPr>
      <w:r>
        <w:rPr>
          <w:b/>
        </w:rPr>
        <w:t xml:space="preserve">확신도.</w:t>
      </w:r>
      <w:r>
        <w:t xml:space="preserve"> 가설 — 패턴은 기계적으로 확인되었으나, 정정의 성격(단순 오기 vs 실질 수치 변경)과 해명의 진위는 원문 대조 전까지 단정할 수 없습니다.</w:t>
      </w:r>
    </w:p>
    <w:p>
      <w:pPr>
        <w:jc w:val="both"/>
      </w:pPr>
      <w:r>
        <w:rPr>
          <w:b/>
        </w:rPr>
        <w:t xml:space="preserve">판별 테스트.</w:t>
      </w:r>
    </w:p>
    <w:p>
      <w:pPr>
        <w:pStyle w:val="ListParagraph"/>
        <w:numPr>
          <w:ilvl w:val="0"/>
          <w:numId w:val="1"/>
        </w:numPr>
        <w:jc w:val="both"/>
      </w:pPr>
      <w:r>
        <w:t xml:space="preserve">정정 공시 9건을 사유별로 분류 — 단순 오기/형식 정정과 실질 수치·일정 변경을 구분(후자의 비중이 리스크의 실체).</w:t>
      </w:r>
    </w:p>
    <w:p>
      <w:pPr>
        <w:pStyle w:val="ListParagraph"/>
        <w:numPr>
          <w:ilvl w:val="0"/>
          <w:numId w:val="1"/>
        </w:numPr>
        <w:jc w:val="both"/>
      </w:pPr>
      <w:r>
        <w:t xml:space="preserve">2026-06-16 해명 공시의 대상 보도를 특정하고, 이후 확정 공시로 해명이 뒷받침되었는지 후속 추적.</w:t>
      </w:r>
    </w:p>
    <w:p>
      <w:pPr>
        <w:pStyle w:val="ListParagraph"/>
        <w:numPr>
          <w:ilvl w:val="0"/>
          <w:numId w:val="1"/>
        </w:numPr>
        <w:jc w:val="both"/>
      </w:pPr>
      <w:r>
        <w:t xml:space="preserve">공시 검수 체인(작성→법무/재무 리뷰→승인) 단계별 반려·재작성 이력 점검.</w:t>
      </w:r>
    </w:p>
    <w:p>
      <w:pPr>
        <w:jc w:val="both"/>
      </w:pPr>
      <w:r>
        <w:rPr>
          <w:b/>
        </w:rPr>
        <w:t xml:space="preserve">권고 조치.</w:t>
      </w:r>
      <w:r>
        <w:t xml:space="preserve"> 공시 정정 사유 분류표를 작성해 실질 정정 비중을 산출하고, 실질 정정이 유의미하면 공시 검수 프로세스(2인 이상 크로스체크·승인 게이트)를 재정비하십시오. 해명 공시 건은 IR·법무가 후속 확정 공시로 종결 여부를 명시적으로 관리하도록 지시하시기 바랍니다.</w:t>
      </w:r>
    </w:p>
    <w:p>
      <w:pPr>
        <w:pStyle w:val="Heading1"/>
      </w:pPr>
      <w:r>
        <w:rPr>
          <w:b/>
          <w:color w:val="1B2A4A"/>
        </w:rPr>
        <w:t xml:space="preserve">확인 범위와 한계</w:t>
      </w:r>
    </w:p>
    <w:p>
      <w:pPr>
        <w:pStyle w:val="ListParagraph"/>
        <w:numPr>
          <w:ilvl w:val="0"/>
          <w:numId w:val="1"/>
        </w:numPr>
        <w:jc w:val="both"/>
      </w:pPr>
      <w:r>
        <w:t xml:space="preserve">본 브리핑은 </w:t>
      </w:r>
      <w:r>
        <w:rPr>
          <w:b/>
        </w:rPr>
        <w:t xml:space="preserve">발화된 신호(공시 행간) 1건</w:t>
      </w:r>
      <w:r>
        <w:t xml:space="preserve">만을 리스크로 다룹니다. 수익-채권 괴리·재고 적체·차입 확대·유동성 하락·발생액 품질의 5개 재무 축은 이번 창에서 </w:t>
      </w:r>
      <w:r>
        <w:rPr>
          <w:b/>
        </w:rPr>
        <w:t xml:space="preserve">모두 임계값 미달로 미발화</w:t>
      </w:r>
      <w:r>
        <w:t xml:space="preserve">하여, 리스크로 승격하지 않았습니다. (미발화는 "현시점 데이터에서 경보 조건 미충족"을 뜻할 뿐, 개별 항목의 절대적 안전을 보증하지 않습니다.)</w:t>
      </w:r>
    </w:p>
    <w:p>
      <w:pPr>
        <w:pStyle w:val="ListParagraph"/>
        <w:numPr>
          <w:ilvl w:val="0"/>
          <w:numId w:val="1"/>
        </w:numPr>
        <w:jc w:val="both"/>
      </w:pPr>
      <w:r>
        <w:t xml:space="preserve">근거 수치는 FY2025 연결 공시와 최근 90일 공시목록에서 결정론으로 파생한 값이며, 정정·해명의 </w:t>
      </w:r>
      <w:r>
        <w:rPr>
          <w:b/>
        </w:rPr>
        <w:t xml:space="preserve">성격 판별과 원문 대조는 수행되지 않았습니다</w:t>
      </w:r>
      <w:r>
        <w:t xml:space="preserve"> — 위 판별 테스트가 그 확인 절차입니다.</w:t>
      </w:r>
    </w:p>
    <w:p>
      <w:pPr>
        <w:pStyle w:val="ListParagraph"/>
        <w:numPr>
          <w:ilvl w:val="0"/>
          <w:numId w:val="1"/>
        </w:numPr>
        <w:jc w:val="both"/>
      </w:pPr>
      <w:r>
        <w:t xml:space="preserve">내부 데이터(거래처 집중·원가 왜곡 등)와 뉴스·시장 축은 이번 진단에 제공되지 않아, 해당 관점의 교차 검증은 범위 밖입니다.</w:t>
      </w:r>
    </w:p>
    <w:p>
      <w:pPr>
        <w:pStyle w:val="ListParagraph"/>
        <w:numPr>
          <w:ilvl w:val="0"/>
          <w:numId w:val="1"/>
        </w:numPr>
        <w:jc w:val="both"/>
      </w:pPr>
      <w:r>
        <w:t xml:space="preserve">거시 환경(기준금리 2.5%, 기간 내 변동 없음)은 특이 신호로 관측되지 않았습니다.</w:t>
      </w:r>
    </w:p>
    <w:sectPr>
      <w:headerReference w:type="default" r:id="rIdHeader"/>
      <w:footerReference w:type="default" r:id="rIdFooter"/>
      <w:pgSz w:w="11906" w:h="16838"/>
      <w:pgMar w:top="1418" w:right="1418" w:bottom="1418" w:left="1418" w:header="709" w:footer="709" w:gutter="0"/>
      <w:titlePg/>
    </w:sectPr>
  </w:body>
</w:document>
</file>

<file path=word/footer1.xml><?xml version="1.0" encoding="utf-8"?>
<w:ftr xmlns:w="http://schemas.openxmlformats.org/wordprocessingml/2006/main">
  <w:p>
    <w:pPr>
      <w:pBdr>
        <w:top w:val="single" w:sz="4" w:space="4" w:color="D9D9D9"/>
      </w:pBdr>
      <w:tabs>
        <w:tab w:val="right" w:pos="9070"/>
      </w:tabs>
      <w:spacing w:after="0"/>
    </w:pPr>
    <w:r>
      <w:rPr>
        <w:color w:val="A6A6A6"/>
        <w:sz w:val="16"/>
      </w:rPr>
      <w:t xml:space="preserve">Management risk briefing | Not investment advice</w:t>
    </w:r>
    <w:r>
      <w:rPr>
        <w:color w:val="A6A6A6"/>
        <w:sz w:val="16"/>
      </w:rPr>
      <w:tab/>
    </w:r>
    <w:r>
      <w:fldChar w:fldCharType="begin"/>
    </w:r>
    <w:r>
      <w:rPr>
        <w:color w:val="A6A6A6"/>
        <w:sz w:val="16"/>
      </w:rPr>
      <w:instrText xml:space="preserve"> PAGE </w:instrText>
    </w:r>
    <w:r>
      <w:fldChar w:fldCharType="end"/>
    </w:r>
  </w:p>
</w:ftr>
</file>

<file path=word/header1.xml><?xml version="1.0" encoding="utf-8"?>
<w:hdr xmlns:w="http://schemas.openxmlformats.org/wordprocessingml/2006/main">
  <w:p>
    <w:pPr>
      <w:pBdr>
        <w:bottom w:val="single" w:sz="4" w:space="4" w:color="D9D9D9"/>
      </w:pBdr>
      <w:tabs>
        <w:tab w:val="right" w:pos="9070"/>
      </w:tabs>
      <w:spacing w:after="0"/>
    </w:pPr>
    <w:r>
      <w:rPr>
        <w:color w:val="A6A6A6"/>
        <w:sz w:val="16"/>
      </w:rPr>
      <w:t xml:space="preserve">CEO Risk Briefing</w:t>
    </w:r>
    <w:r>
      <w:rPr>
        <w:color w:val="A6A6A6"/>
        <w:sz w:val="16"/>
      </w:rPr>
      <w:tab/>
    </w:r>
    <w:r>
      <w:rPr>
        <w:b/>
        <w:color w:val="D04A02"/>
        <w:sz w:val="16"/>
      </w:rPr>
      <w:t>Confidential</w:t>
    </w:r>
  </w:p>
</w:hdr>
</file>

<file path=word/numbering.xml><?xml version="1.0" encoding="utf-8"?>
<w:numbering xmlns:w="http://schemas.openxmlformats.org/wordprocessingml/2006/main">
  <w:abstractNum w:abstractNumId="0">
    <w:lvl w:ilvl="0">
      <w:numFmt w:val="bullet"/>
      <w:lvlText w:val="•"/>
      <w:pPr>
        <w:ind w:left="425" w:hanging="212"/>
      </w:pPr>
      <w:rPr>
        <w:color w:val="D04A02"/>
      </w:rPr>
    </w:lvl>
    <w:lvl w:ilvl="1">
      <w:numFmt w:val="bullet"/>
      <w:lvlText w:val="–"/>
      <w:pPr>
        <w:ind w:left="850" w:hanging="212"/>
      </w:pPr>
      <w:rPr>
        <w:color w:val="595959"/>
      </w:rPr>
    </w:lvl>
  </w:abstractNum>
  <w:num w:numId="1">
    <w:abstractNumId w:val="0"/>
  </w:num>
</w:numbering>
</file>

<file path=word/styles.xml><?xml version="1.0" encoding="utf-8"?>
<w:styles xmlns:w="http://schemas.openxmlformats.org/wordprocessingml/2006/main">
  <w:docDefaults>
    <w:rPrDefault>
      <w:rPr>
        <w:rFonts w:ascii="Malgun Gothic" w:eastAsia="Malgun Gothic" w:hAnsi="Malgun Gothic" w:cs="Malgun Gothic"/>
        <w:sz w:val="21"/>
        <w:szCs w:val="21"/>
        <w:lang w:val="ko-KR" w:eastAsia="ko-KR"/>
      </w:rPr>
    </w:rPrDefault>
    <w:pPrDefault>
      <w:pPr>
        <w:spacing w:after="140" w:line="276" w:lineRule="auto"/>
      </w:pPr>
    </w:pPrDefault>
  </w:docDefaults>
  <w:style w:type="paragraph" w:default="1" w:styleId="Normal">
    <w:name w:val="Normal"/>
  </w:style>
  <w:style w:type="paragraph" w:styleId="Heading1">
    <w:name w:val="heading 1"/>
    <w:basedOn w:val="Normal"/>
    <w:pPr>
      <w:keepNext/>
      <w:spacing w:before="400" w:after="160"/>
      <w:pBdr>
        <w:bottom w:val="single" w:sz="8" w:space="4" w:color="D04A02"/>
      </w:pBdr>
      <w:outlineLvl w:val="0"/>
    </w:pPr>
    <w:rPr>
      <w:b/>
      <w:color w:val="1B2A4A"/>
      <w:sz w:val="27"/>
      <w:szCs w:val="27"/>
    </w:rPr>
  </w:style>
  <w:style w:type="paragraph" w:styleId="Heading2">
    <w:name w:val="heading 2"/>
    <w:basedOn w:val="Normal"/>
    <w:pPr>
      <w:keepNext/>
      <w:spacing w:before="280" w:after="120"/>
      <w:outlineLvl w:val="1"/>
    </w:pPr>
    <w:rPr>
      <w:b/>
      <w:color w:val="1B2A4A"/>
      <w:sz w:val="23"/>
      <w:szCs w:val="23"/>
    </w:rPr>
  </w:style>
  <w:style w:type="paragraph" w:styleId="ListParagraph">
    <w:name w:val="List Paragraph"/>
    <w:basedOn w:val="Normal"/>
    <w:pPr>
      <w:spacing w:after="80"/>
      <w:ind w:left="425"/>
    </w:pPr>
  </w:style>
  <w:style w:type="character" w:styleId="Hyperlink">
    <w:name w:val="Hyperlink"/>
    <w:rPr>
      <w:color w:val="1155CC"/>
      <w:u w:val="single"/>
    </w:rPr>
  </w:style>
  <w:style w:type="table" w:styleId="TableGrid">
    <w:name w:val="Table Grid"/>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Header" Type="http://schemas.openxmlformats.org/officeDocument/2006/relationships/header" Target="header1.xml"/>
<Relationship Id="rIdFooter" Type="http://schemas.openxmlformats.org/officeDocument/2006/relationships/footer" Target="footer1.xml"/>
<Relationship Id="rIdSnapshot" Type="http://schemas.openxmlformats.org/officeDocument/2006/relationships/image" Target="media/executive-summary.png"/>

</Relationships>
</file>

<file path=docProps/app.xml><?xml version="1.0" encoding="utf-8"?>
<Properties xmlns="http://schemas.openxmlformats.org/officeDocument/2006/extended-properties">
  <Application>trusted-ceo-agent</Application>
</Properties>
</file>

<file path=docProps/core.xml><?xml version="1.0" encoding="utf-8"?>
<cp:coreProperties xmlns:cp="http://schemas.openxmlformats.org/package/2006/metadata/core-properties" xmlns:dc="http://purl.org/dc/elements/1.1/" xmlns:dcterms="http://purl.org/dc/terms/" xmlns:xsi="http://www.w3.org/2001/XMLSchema-instance">
  <dc:title>CEO 서명용 경영리스크 브리핑 — 에스케이하이닉스(주)</dc:title>
  <dc:creator>Trusted CEO Agent</dc:creator>
  <cp:lastModifiedBy>Trusted CEO Agent</cp:lastModifiedBy>
  <dcterms:created xsi:type="dcterms:W3CDTF">2026-07-11T00:00:00Z</dcterms:created>
  <dcterms:modified xsi:type="dcterms:W3CDTF">2026-07-11T00:00:00Z</dcterms:modified>
</cp:coreProperties>
</file>