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CEO 서명용 리스크 브리핑 — (주)아이센스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2026-07-14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대상 기업</w:t>
      </w:r>
      <w:r>
        <w:t xml:space="preserve">: (주)아이센스 (종목코드 099190, 사업자등록번호 210-81-29428)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각자 대표이사</w:t>
      </w:r>
      <w:r>
        <w:t xml:space="preserve">: 차근식, 남학현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분석 기준</w:t>
      </w:r>
      <w:r>
        <w:t xml:space="preserve">: 2025 사업연도 연결재무제표(CFS) 공시 데이터, 최근 90일 공시 이력, 한국은행 기준금리(2026-07-12 기준 2.5%, 관측 구간 내 변동 없음)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판정 요약</w:t>
      </w:r>
      <w:r>
        <w:t xml:space="preserve">: </w:t>
      </w:r>
      <w:r>
        <w:rPr>
          <w:b/>
        </w:rPr>
        <w:t xml:space="preserve">발화 리스크 신호 0건</w:t>
      </w:r>
      <w:r>
        <w:t xml:space="preserve"> — 외부 공시 기반 6개 진단 축(E1·E2·E3·E4·E5·E8) 전 축 임계값 미달로 미발화</w:t>
      </w:r>
    </w:p>
    <w:p>
      <w:pPr>
        <w:pStyle w:val="Heading1"/>
      </w:pPr>
      <w:r>
        <w:rPr>
          <w:b/>
          <w:color w:val="1B2A4A"/>
        </w:rPr>
        <w:t xml:space="preserve">1. 종합 판정</w:t>
      </w:r>
    </w:p>
    <w:p>
      <w:pPr>
        <w:jc w:val="both"/>
      </w:pPr>
      <w:r>
        <w:t xml:space="preserve">이번 진단에서 결정론 신호 엔진이 평가한 외부 축 6개 신호는 </w:t>
      </w:r>
      <w:r>
        <w:rPr>
          <w:b/>
        </w:rPr>
        <w:t xml:space="preserve">모두 미발화</w:t>
      </w:r>
      <w:r>
        <w:t xml:space="preserve">했습니다. 즉, 공시·거시 데이터의 행간에서 임계값을 넘는 경영리스크 패턴이 포착되지 않았습니다. 본 브리핑은 규칙에 따라 미발화 신호를 리스크로 승격하지 않으며, 아래에는 각 축이 무엇을 점검했고 왜 발화하지 않았는지의 정성 요약과, 이 결과를 신뢰하기 위한 범위·한계를 기술합니다.</w:t>
      </w:r>
    </w:p>
    <w:p>
      <w:pPr>
        <w:pStyle w:val="Heading1"/>
      </w:pPr>
      <w:r>
        <w:rPr>
          <w:b/>
          <w:color w:val="1B2A4A"/>
        </w:rPr>
        <w:t xml:space="preserve">2. 축별 점검 결과 (전 축 미발화 — 정성 요약)</w:t>
      </w:r>
    </w:p>
    <w:tbl>
      <w:tblPr>
        <w:tblStyle w:val="TableGrid"/>
        <w:tblW w:w="907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00"/>
        <w:gridCol w:w="1200"/>
        <w:gridCol w:w="5170"/>
      </w:tblGrid>
      <w:tr>
        <w:tc>
          <w:tcPr>
            <w:tcW w:w="2700" w:type="dxa"/>
            <w:shd w:val="clear" w:color="auto" w:fill="F2E8E0"/>
          </w:tcPr>
          <w:p>
            <w:pPr>
              <w:spacing w:before="40" w:after="40"/>
            </w:pPr>
            <w:r>
              <w:rPr>
                <w:b/>
                <w:color w:val="1B2A4A"/>
                <w:sz w:val="19"/>
                <w:szCs w:val="19"/>
              </w:rPr>
              <w:t xml:space="preserve">축</w:t>
            </w:r>
          </w:p>
        </w:tc>
        <w:tc>
          <w:tcPr>
            <w:tcW w:w="1200" w:type="dxa"/>
            <w:shd w:val="clear" w:color="auto" w:fill="F2E8E0"/>
          </w:tcPr>
          <w:p>
            <w:pPr>
              <w:spacing w:before="40" w:after="40"/>
            </w:pPr>
            <w:r>
              <w:rPr>
                <w:b/>
                <w:color w:val="1B2A4A"/>
                <w:sz w:val="19"/>
                <w:szCs w:val="19"/>
              </w:rPr>
              <w:t xml:space="preserve">점검 내용</w:t>
            </w:r>
          </w:p>
        </w:tc>
        <w:tc>
          <w:tcPr>
            <w:tcW w:w="5170" w:type="dxa"/>
            <w:shd w:val="clear" w:color="auto" w:fill="F2E8E0"/>
          </w:tcPr>
          <w:p>
            <w:pPr>
              <w:spacing w:before="40" w:after="40"/>
            </w:pPr>
            <w:r>
              <w:rPr>
                <w:b/>
                <w:color w:val="1B2A4A"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E1 수익-채권 괴리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매출 성장 대비 매출채권 급증, 이익의 현금화 저조 여부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임계값 미달로 미발화 — 채권 증가가 매출 성장을 앞지르지 않았고, 영업이익의 현금 전환도 건전 범위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E2 재고 자산 적체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매출 대비 재고 증가 속도 괴리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임계값 미달로 미발화 — 재고는 오히려 감소 방향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E3 차입 확대·이자 부담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차입금 증가율·이자보상 능력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임계값 미달로 미발화 — 차입은 축소 방향. 단, 이자보상배율의 절대 수준은 후속 점검 가치가 있음(아래 §3)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E4 유동성 하락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유동비율 수준·연속 하락 추세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임계값 미달로 미발화 — 유동비율이 하한 위에서 유지, 2년 연속 하락 아님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E5 공시 행간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최근 90일 정정·해명·감사 관련 공시 패턴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임계값 미달로 미발화 — 정정·해명 공시 없음</w:t>
            </w:r>
          </w:p>
        </w:tc>
      </w:tr>
      <w:tr>
        <w:tc>
          <w:tcPr>
            <w:tcW w:w="27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E8 발생액 품질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이익-영업현금흐름 괴리(총자산 대비 발생액 비율, 지속 괴리)</w:t>
            </w:r>
          </w:p>
        </w:tc>
        <w:tc>
          <w:tcPr>
            <w:tcW w:w="5170" w:type="dxa"/>
          </w:tcPr>
          <w:p>
            <w:pPr>
              <w:spacing w:before="40" w:after="40"/>
            </w:pPr>
            <w:r>
              <w:rPr>
                <w:sz w:val="19"/>
                <w:szCs w:val="19"/>
              </w:rPr>
              <w:t xml:space="preserve">임계값 미달로 미발화 — 발생액 비율이 상한 아래이며 지속 괴리 패턴 없음</w:t>
            </w:r>
          </w:p>
        </w:tc>
      </w:tr>
    </w:tbl>
    <w:p>
      <w:pPr>
        <w:pBdr>
          <w:left w:val="single" w:sz="24" w:space="8" w:color="D04A02"/>
        </w:pBdr>
        <w:shd w:val="clear" w:color="auto" w:fill="FBF4EE"/>
        <w:spacing w:before="60" w:after="120" w:line="276" w:lineRule="auto"/>
        <w:ind w:left="284" w:right="284"/>
        <w:jc w:val="both"/>
      </w:pPr>
      <w:r>
        <w:t xml:space="preserve">뉴스 축(E6·E7 시장 축 포함), 비정형 문서 축(D1), 내부 CSV 기반 상세 축(S1~S4)은 이번 진단에 </w:t>
      </w:r>
      <w:r>
        <w:rPr>
          <w:b/>
        </w:rPr>
        <w:t xml:space="preserve">입력되지 않아 평가 대상이 아니었습니다</w:t>
      </w:r>
      <w:r>
        <w:t xml:space="preserve">(미발화가 아니라 미평가).</w:t>
      </w:r>
    </w:p>
    <w:p>
      <w:pPr>
        <w:pStyle w:val="Heading1"/>
      </w:pPr>
      <w:r>
        <w:rPr>
          <w:b/>
          <w:color w:val="1B2A4A"/>
        </w:rPr>
        <w:t xml:space="preserve">3. 리스크로 승격하지 않되, 확인을 권하는 관찰 1건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관찰</w:t>
      </w:r>
      <w:r>
        <w:t xml:space="preserve">: E3(차입·이자 부담) 축은 미발화했으나, 이자보상배율의 절대 수준이 통상적 안전 기준 대비 낮은 구간을 지나온 이력이 있습니다. 신호 엔진은 "차입 확대 + 커버리지 하락"의 결합 패턴을 보는데, 차입이 축소 방향이라 발화하지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B45309"/>
        </w:rPr>
        <w:t xml:space="preserve">가설</w:t>
      </w:r>
      <w:r>
        <w:t xml:space="preserve"> (미발화 신호의 부속 관찰이며, 리스크 판정이 아님)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판별 테스트. </w:t>
      </w:r>
      <w:r>
        <w:t xml:space="preserve">주석의 차입금 만기 구조와 변동/고정 금리 구성, 금융약정(covenant) 조건을 확인해 커버리지가 낮은 구간에서 약정 위반 트리거에 근접했던 적이 있는지 대조.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권고 조치. </w:t>
      </w:r>
      <w:r>
        <w:t xml:space="preserve">재무 담당 임원에게 차입금 만기·약정 현황 1페이지 요약을 요청해 두시면, 커버리지가 재차 낮아지는 국면에서 선제 대응 여지가 생깁니다.</w:t>
      </w:r>
    </w:p>
    <w:p>
      <w:pPr>
        <w:pStyle w:val="Heading1"/>
      </w:pPr>
      <w:r>
        <w:rPr>
          <w:b/>
          <w:color w:val="1B2A4A"/>
        </w:rPr>
        <w:t xml:space="preserve">4. 권고 조치 (신호 미발화 상태에서의 유지 관리)</w:t>
      </w:r>
    </w:p>
    <w:p>
      <w:pPr>
        <w:jc w:val="both"/>
      </w:pPr>
      <w:r>
        <w:t xml:space="preserve">1. </w:t>
      </w:r>
      <w:r>
        <w:rPr>
          <w:b/>
        </w:rPr>
        <w:t xml:space="preserve">분기 재진단 유지</w:t>
      </w:r>
      <w:r>
        <w:t xml:space="preserve"> — 이번 결과는 2025 연간 공시 기준의 스냅샷입니다. 분기보고서 공시 시점마다 동일 진단을 반복해 추세 이탈을 조기 포착하십시오.</w:t>
      </w:r>
    </w:p>
    <w:p>
      <w:pPr>
        <w:jc w:val="both"/>
      </w:pPr>
      <w:r>
        <w:t xml:space="preserve">2. </w:t>
      </w:r>
      <w:r>
        <w:rPr>
          <w:b/>
        </w:rPr>
        <w:t xml:space="preserve">미평가 축 개방 검토</w:t>
      </w:r>
      <w:r>
        <w:t xml:space="preserve"> — 내부 CSV(`--data-dir`)를 연결하면 거래처 집중·원가 왜곡·공시 대사 축이, 뉴스·시장 옵션을 켜면 평판·시장 축이 추가됩니다. 외부 축이 조용할 때가 내부 축 기준선을 잡기 좋은 시점입니다.</w:t>
      </w:r>
    </w:p>
    <w:p>
      <w:pPr>
        <w:jc w:val="both"/>
      </w:pPr>
      <w:r>
        <w:t xml:space="preserve">3. </w:t>
      </w:r>
      <w:r>
        <w:rPr>
          <w:b/>
        </w:rPr>
        <w:t xml:space="preserve">금리 환경 모니터링</w:t>
      </w:r>
      <w:r>
        <w:t xml:space="preserve"> — 기준금리는 관측 구간 내 변동이 없었으나, 금리 방향 전환 시 E3·E4 축의 임계값 근접 여부를 우선 재확인하십시오.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브리핑은 DART 공시(연결재무제표)·최근 90일 공시 이력·한국은행 기준금리라는 </w:t>
      </w:r>
      <w:r>
        <w:rPr>
          <w:b/>
        </w:rPr>
        <w:t xml:space="preserve">외부 공개 데이터만</w:t>
      </w:r>
      <w:r>
        <w:t xml:space="preserve">으로 파생된 결정론 신호에 기반합니다. 내부 회계 데이터, 뉴스·평판, 시장 시세, 비정형 문서는 이번 진단에 입력되지 않아 해당 축의 리스크 존재 여부를 판단할 수 없습니다.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신호 미발화는 "임계값을 넘는 패턴이 공시 데이터에 없었다"는 뜻이며, 리스크의 부재를 보증하지 않습니다. 임계값 아래에서 진행 중인 완만한 악화, 공시에 반영되지 않은 기중 사건, 연결 범위 밖 거래는 본 진단의 시야 밖에 있습니다.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각 판단은 공시 수치의 기계적 파생값에 근거한 것으로, 회계 감리나 실사를 대체하지 않습니다. §3의 관찰은 확정된 문제 제기가 아니라 판별 테스트로 반증 가능한 가설입니다.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CEO 서명용 리스크 브리핑 — (주)아이센스</dc:title>
  <dc:creator>Trusted CEO Agent</dc:creator>
  <cp:lastModifiedBy>Trusted CEO Agent</cp:lastModifiedBy>
  <dcterms:created xsi:type="dcterms:W3CDTF">2026-07-14T00:00:00Z</dcterms:created>
  <dcterms:modified xsi:type="dcterms:W3CDTF">2026-07-14T00:00:00Z</dcterms:modified>
</cp:coreProperties>
</file>