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경영리스크 브리핑 — (주)엘엠에스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재고 자산 적체 (E2)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CFO에게 재고 구성(제품/재공품/원재료)별 증가 내역과 수주 잔고 대비 재고 커버리지 보고를 요청하시고, 다음 분기 재고 평가손실 가능성에 대한 사전 검토를 지시하십시오.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R2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차입 확대·이자 부담 (E3)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CFO에게 차입금 만기 스케줄·약정 조건·용도 매핑을 담은 부채 현황 보고를 요청하시고, 이자보상배율이 음수인 기간의 이자 지급 재원 계획(보유 현금 소진 속도 포함)을 이사회 안건으로 상정하는 것을 권고드립니다.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(주)엘엠에스 (종목코드 073110, 사업자등록번호 214-86-29653)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대표이사</w:t>
      </w:r>
      <w:r>
        <w:t xml:space="preserve">: 나우주, 조성민 (각자대표)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공시 관찰 구간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조회 구간 내 변동 없음)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발화 신호</w:t>
      </w:r>
      <w:r>
        <w:t xml:space="preserve">: 외부 신호 2건 (E2 재고 자산 적체, E3 차입 확대·이자 부담)</w:t>
      </w:r>
    </w:p>
    <w:p>
      <w:pPr>
        <w:pStyle w:val="Heading1"/>
      </w:pPr>
      <w:r>
        <w:rPr>
          <w:b/>
          <w:color w:val="1B2A4A"/>
        </w:rPr>
        <w:t xml:space="preserve">리스크 1 — 재고 자산 적체 (E2)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매출이 거의 늘지 않는 동안 재고자산이 큰 폭으로 불어나, 팔리는 속도보다 쌓이는 속도가 빠른 구간에 진입했습니다.</w:t>
      </w:r>
    </w:p>
    <w:p>
      <w:pPr>
        <w:jc w:val="both"/>
      </w:pPr>
      <w:r>
        <w:rPr>
          <w:b/>
        </w:rPr>
        <w:t xml:space="preserve">근거 (수치·출처: DART 공시 연결재무제표 파생 계산)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매출 성장률 </w:t>
      </w:r>
      <w:r>
        <w:rPr>
          <w:b/>
        </w:rPr>
        <w:t xml:space="preserve">2.8%</w:t>
      </w:r>
      <w:r>
        <w:t xml:space="preserve"> vs 재고자산 증가율 </w:t>
      </w:r>
      <w:r>
        <w:rPr>
          <w:b/>
        </w:rPr>
        <w:t xml:space="preserve">43.0%</w:t>
      </w:r>
      <w:r>
        <w:t xml:space="preserve"> — 격차 </w:t>
      </w:r>
      <w:r>
        <w:rPr>
          <w:b/>
        </w:rPr>
        <w:t xml:space="preserve">40.3%p</w:t>
      </w:r>
      <w:r>
        <w:t xml:space="preserve"> (임계값 15%p 초과)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: 매출이 정체된 상태에서 재고가 앞서 늘어나면, 그 재고는 미래 수요에 대한 베팅이 됩니다. 수요가 예측대로 오지 않으면 재고는 평가손실로 전환되어 이익을 갉아먹고, 그 전까지는 운전자본에 현금을 묶어 둡니다. 아래 리스크 2(차입 확대)와 겹치면 "현금이 재고에 잠긴 채 이자를 내는" 구조가 되어, 두 신호가 서로를 증폭시킬 수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(매출-재고 증가율 괴리 자체는 공시 수치로 확인) — 다만 그 원인이 수요 오판인지, 의도된 전략적 선매입(원재료 확보·신제품 대비)인지는 가설 단계입니다.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재고자산 주석에서 </w:t>
      </w:r>
      <w:r>
        <w:rPr>
          <w:b/>
        </w:rPr>
        <w:t xml:space="preserve">제품/재공품/원재료 구성 변화</w:t>
      </w:r>
      <w:r>
        <w:t xml:space="preserve"> 확인 — 원재료 중심 증가면 전략적 선매입 가설, 제품·재공품 중심이면 판매 부진 적체 가설이 강화됩니다.</w:t>
      </w:r>
    </w:p>
    <w:p>
      <w:pPr>
        <w:jc w:val="both"/>
      </w:pPr>
      <w:r>
        <w:t xml:space="preserve">2. 재고자산 </w:t>
      </w:r>
      <w:r>
        <w:rPr>
          <w:b/>
        </w:rPr>
        <w:t xml:space="preserve">평가손실(충당금) 설정 추이</w:t>
      </w:r>
      <w:r>
        <w:t xml:space="preserve"> 확인 — 이미 손실 인식이 시작됐다면 적체가 진행형이라는 신호입니다.</w:t>
      </w:r>
    </w:p>
    <w:p>
      <w:pPr>
        <w:jc w:val="both"/>
      </w:pPr>
      <w:r>
        <w:t xml:space="preserve">3. 재고자산회전율 추이를 분기 단위로 재계산해 둔화 시점을 좁힙니다.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CFO에게 재고 구성(제품/재공품/원재료)별 증가 내역과 수주 잔고 대비 재고 커버리지 보고를 요청하시고, 다음 분기 재고 평가손실 가능성에 대한 사전 검토를 지시하십시오.</w:t>
      </w:r>
    </w:p>
    <w:p>
      <w:pPr>
        <w:pStyle w:val="Heading1"/>
      </w:pPr>
      <w:r>
        <w:rPr>
          <w:b/>
          <w:color w:val="1B2A4A"/>
        </w:rPr>
        <w:t xml:space="preserve">리스크 2 — 차입 확대·이자 부담 (E3)</w:t>
      </w:r>
    </w:p>
    <w:p>
      <w:pPr>
        <w:jc w:val="both"/>
      </w:pPr>
      <w:r>
        <w:rPr>
          <w:b/>
          <w:color w:val="1B2A4A"/>
        </w:rPr>
        <w:t xml:space="preserve">결론. </w:t>
      </w:r>
      <w:r>
        <w:t xml:space="preserve">차입금이 전기 대비 급격히 확대된 가운데 영업이익이 이자 지급을 감당하지 못하는 상태(이자보상배율 음수)가 심화되고 있어, 재무 레버리지의 방향과 속도를 점검할 시점입니다.</w:t>
      </w:r>
    </w:p>
    <w:p>
      <w:pPr>
        <w:jc w:val="both"/>
      </w:pPr>
      <w:r>
        <w:rPr>
          <w:b/>
        </w:rPr>
        <w:t xml:space="preserve">근거 (수치·출처: DART 공시 연결재무제표 파생 계산)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차입금 증가율 </w:t>
      </w:r>
      <w:r>
        <w:rPr>
          <w:b/>
        </w:rPr>
        <w:t xml:space="preserve">12713.3%</w:t>
      </w:r>
      <w:r>
        <w:t xml:space="preserve"> (절대 규모는 조 단위 미만: 0→0조 표기 — 낮은 기저에서의 급증)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이자보상배율 </w:t>
      </w:r>
      <w:r>
        <w:rPr>
          <w:b/>
        </w:rPr>
        <w:t xml:space="preserve">-1.7→-5배</w:t>
      </w:r>
      <w:r>
        <w:t xml:space="preserve"> (영업이익/이자지급), 전기 대비 커버리지 </w:t>
      </w:r>
      <w:r>
        <w:rPr>
          <w:b/>
        </w:rPr>
        <w:t xml:space="preserve">-186.2%</w:t>
      </w:r>
      <w:r>
        <w:t xml:space="preserve"> 악화</w:t>
      </w:r>
    </w:p>
    <w:p>
      <w:pPr>
        <w:jc w:val="both"/>
      </w:pPr>
      <w:r>
        <w:rPr>
          <w:b/>
        </w:rPr>
        <w:t xml:space="preserve">왜 문제인가 (인과 사슬)</w:t>
      </w:r>
      <w:r>
        <w:t xml:space="preserve">: 영업이익이 음수인 상태에서는 이자를 영업활동이 아니라 보유 현금이나 추가 차입으로 갚아야 합니다. 이 상황에서 차입이 급증했다는 것은, 사업이 벌어들이는 돈이 아니라 빌린 돈으로 사업과 이자를 동시에 지탱하는 구조로 이동하고 있을 가능성을 의미합니다. 기준금리(2.5%)가 조회 구간 내 변동이 없었음에도 커버리지가 악화된 것은 금리 환경이 아닌 회사 내부 요인(수익성·차입 규모)이 원인임을 시사합니다. 리스크 1의 재고 잠김과 결합되면 상환 재원 확보가 더 어려워집니다.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(차입 급증과 이자보상배율 음수 전환·심화는 공시 수치로 확인) — 다만 차입 목적이 설비투자 등 계획된 확장인지, 운전자본 방어용인지는 가설 단계입니다.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재무제표 주석의 </w:t>
      </w:r>
      <w:r>
        <w:rPr>
          <w:b/>
        </w:rPr>
        <w:t xml:space="preserve">차입금 만기 구조</w:t>
      </w:r>
      <w:r>
        <w:t xml:space="preserve"> 확인 — 1년 내 만기 집중이면 리파이낸싱 리스크가 즉시 과제가 됩니다.</w:t>
      </w:r>
    </w:p>
    <w:p>
      <w:pPr>
        <w:jc w:val="both"/>
      </w:pPr>
      <w:r>
        <w:t xml:space="preserve">2. </w:t>
      </w:r>
      <w:r>
        <w:rPr>
          <w:b/>
        </w:rPr>
        <w:t xml:space="preserve">변동/고정 금리 구성</w:t>
      </w:r>
      <w:r>
        <w:t xml:space="preserve">과 </w:t>
      </w:r>
      <w:r>
        <w:rPr>
          <w:b/>
        </w:rPr>
        <w:t xml:space="preserve">약정(covenant) 조건</w:t>
      </w:r>
      <w:r>
        <w:t xml:space="preserve"> 확인 — 이자보상배율·부채비율 관련 약정이 있다면 위반 임계까지의 여유를 계량하십시오.</w:t>
      </w:r>
    </w:p>
    <w:p>
      <w:pPr>
        <w:jc w:val="both"/>
      </w:pPr>
      <w:r>
        <w:t xml:space="preserve">3. 현금흐름표에서 차입 자금의 사용처(투자활동 vs 운전자본) 대조 — 설비투자 매칭이면 확장 가설, 운전자본 소진 보전이면 방어적 차입 가설이 강화됩니다.</w:t>
      </w:r>
    </w:p>
    <w:p>
      <w:pPr>
        <w:jc w:val="both"/>
      </w:pPr>
      <w:r>
        <w:rPr>
          <w:b/>
          <w:color w:val="1B2A4A"/>
        </w:rPr>
        <w:t xml:space="preserve">권고 조치. </w:t>
      </w:r>
      <w:r>
        <w:t xml:space="preserve">CFO에게 차입금 만기 스케줄·약정 조건·용도 매핑을 담은 부채 현황 보고를 요청하시고, 이자보상배율이 음수인 기간의 이자 지급 재원 계획(보유 현금 소진 속도 포함)을 이사회 안건으로 상정하는 것을 권고드립니다.</w:t>
      </w:r>
    </w:p>
    <w:p>
      <w:pPr>
        <w:pStyle w:val="Heading1"/>
      </w:pPr>
      <w:r>
        <w:rPr>
          <w:b/>
          <w:color w:val="1B2A4A"/>
        </w:rPr>
        <w:t xml:space="preserve">미발화 신호 (참고 — 리스크 아님)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괴리(E1)</w:t>
      </w:r>
      <w:r>
        <w:t xml:space="preserve">: 영업현금흐름이 영업이익을 상회 수준으로 뒷받침하고 있어 임계값 미달로 미발화했습니다.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 하락(E4)</w:t>
      </w:r>
      <w:r>
        <w:t xml:space="preserve">: 유동비율이 최근 회복 흐름을 보여 2년 연속 하락 조건에 해당하지 않아 미발화했습니다.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공시 행간(E5)</w:t>
      </w:r>
      <w:r>
        <w:t xml:space="preserve">: 관찰 구간 내 정정·해명 공시 패턴이 임계값 미달로 미발화했습니다.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발생액 품질(E8)</w:t>
      </w:r>
      <w:r>
        <w:t xml:space="preserve">: 발생액 비율이 임계값 미달이며 지속 괴리 조건도 충족하지 않아 미발화했습니다.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 연결재무제표(2025 사업연도)와 한국은행 거시지표에서 </w:t>
      </w:r>
      <w:r>
        <w:rPr>
          <w:b/>
        </w:rPr>
        <w:t xml:space="preserve">결정론적으로 파생된 수치</w:t>
      </w:r>
      <w:r>
        <w:t xml:space="preserve">에 기반하며, 내부 CSV(거래처·원가 축)와 뉴스·시장·문서 축은 이번 진단에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발화한 두 신호는 회계 수치상의 </w:t>
      </w:r>
      <w:r>
        <w:rPr>
          <w:b/>
        </w:rPr>
        <w:t xml:space="preserve">이상 패턴을 가리키는 지표</w:t>
      </w:r>
      <w:r>
        <w:t xml:space="preserve">이지, 부정이나 오류의 증거가 아닙니다. 재고 급증과 차입 확대 모두 정당한 경영 판단(선매입·계획된 투자)의 결과일 수 있으며, 그 판별은 위 판별 테스트의 몫입니다.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차입금 증가율은 낮은 기저(조 단위 미만) 효과가 커서 비율 자체보다 </w:t>
      </w:r>
      <w:r>
        <w:rPr>
          <w:b/>
        </w:rPr>
        <w:t xml:space="preserve">만기 구조와 상환 재원</w:t>
      </w:r>
      <w:r>
        <w:t xml:space="preserve">이 실질적인 판단 기준입니다.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연 단위 공시 기반 분석이므로 분기 중 발생한 개선·악화는 반영되지 않았을 수 있습니다. 다음 분기보고서 공시 시점에 재진단을 권고드립니다.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경영리스크 브리핑 — (주)엘엠에스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