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SK이노베이션(주) — CEO 서명용 경영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기업  </w:t>
      </w:r>
      <w:r>
        <w:rPr>
          <w:color w:val="595959"/>
          <w:sz w:val="20"/>
          <w:szCs w:val="20"/>
        </w:rPr>
        <w:t xml:space="preserve">SK이노베이션(주) (종목코드 096770, 사업자등록번호 101-86-32319)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대표이사  </w:t>
      </w:r>
      <w:r>
        <w:rPr>
          <w:color w:val="595959"/>
          <w:sz w:val="20"/>
          <w:szCs w:val="20"/>
        </w:rPr>
        <w:t xml:space="preserve">추형욱, 장용호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기준  </w:t>
      </w:r>
      <w:r>
        <w:rPr>
          <w:color w:val="595959"/>
          <w:sz w:val="20"/>
          <w:szCs w:val="20"/>
        </w:rPr>
        <w:t xml:space="preserve">2025 사업연도 연결재무제표(CFS) · 공시 관찰창 90일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거시 환경  </w:t>
      </w:r>
      <w:r>
        <w:rPr>
          <w:color w:val="595959"/>
          <w:sz w:val="20"/>
          <w:szCs w:val="20"/>
        </w:rPr>
        <w:t xml:space="preserve">한국은행 기준금리 2.5%(2026-07-09 기준), 관찰 구간 내 변동 0%p — 금리 방향성에 따른 별도 리스크 신호는 발화되지 않았습니다.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both"/>
      </w:pPr>
      <w:r>
        <w:t xml:space="preserve">이번 진단에서 임계값을 넘어 발화된 리스크는 </w:t>
      </w:r>
      <w:r>
        <w:rPr>
          <w:b/>
        </w:rPr>
        <w:t xml:space="preserve">공시 행간(정정·해명 패턴) 1건</w:t>
      </w:r>
      <w:r>
        <w:t xml:space="preserve">입니다. 나머지 재무 축은 모두 임계값 미달로 미발화 상태이며, 그 근거는 마지막 "확인 범위와 한계" 절에 정성적으로만 정리했습니다.</w:t>
      </w:r>
    </w:p>
    <w:p>
      <w:pPr>
        <w:pStyle w:val="Heading1"/>
      </w:pPr>
      <w:r>
        <w:rPr>
          <w:b/>
          <w:color w:val="1B2A4A"/>
        </w:rPr>
        <w:t xml:space="preserve">리스크 1 — 공시 품질: 정정·해명 공시의 집중 (E5)</w:t>
      </w:r>
    </w:p>
    <w:p>
      <w:pPr>
        <w:jc w:val="both"/>
      </w:pPr>
      <w:r>
        <w:rPr>
          <w:b/>
        </w:rPr>
        <w:t xml:space="preserve">결론.</w:t>
      </w:r>
      <w:r>
        <w:t xml:space="preserve"> 최근 90일 공시 흐름에서 정정 공시가 반복적으로 나타나고, 보도에 대한 해명 공시가 아직 확정으로 마무리되지 않은 상태입니다. 공시 커뮤니케이션 프로세스의 안정성을 점검할 필요가 있는 신호로 봅니다.</w:t>
      </w:r>
    </w:p>
    <w:p>
      <w:pPr>
        <w:jc w:val="both"/>
      </w:pPr>
      <w:r>
        <w:rPr>
          <w:b/>
        </w:rPr>
        <w:t xml:space="preserve">근거 (수치 + 출처).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관찰창 90일 동안 총 공시 33건 중 정정 공시 11건 (출처: DART 공시 목록, 관찰창 기준).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 공시 1건 — "풍문또는보도에대한해명(미확정) @2026-06-10" (출처: 동일 목록). 감사 관련 플래그(auditFlags)는 관찰되지 않았습니다.</w:t>
      </w:r>
    </w:p>
    <w:p>
      <w:pPr>
        <w:jc w:val="both"/>
      </w:pPr>
      <w:r>
        <w:rPr>
          <w:b/>
        </w:rPr>
        <w:t xml:space="preserve">왜 문제인가 (인과 사슬).</w:t>
      </w:r>
      <w:r>
        <w:t xml:space="preserve"> 정정 공시가 짧은 기간에 거듭 나오면, 그 배경에는 최초 공시 작성·검수 단계에서 확정되지 못한 수치나 표현이 흘러나온다는 뜻일 수 있습니다. 여기에 보도 해명이 "미확정"으로 남아 있으면, 시장은 회사가 전달하려는 사실과 실제 확정 사실 사이의 간극을 스스로 메우려 하게 되고, 이 간극은 투자자 신뢰와 자금조달 조건에 영향을 주는 방향으로 번질 수 있습니다. 즉 개별 정정 하나하나가 아니라, 공시가 한 번에 확정되지 못하고 반복 수정되는 '프로세스'가 신뢰 비용을 키우는 경로입니다.</w:t>
      </w:r>
    </w:p>
    <w:p>
      <w:pPr>
        <w:jc w:val="both"/>
      </w:pPr>
      <w:r>
        <w:rPr>
          <w:b/>
        </w:rPr>
        <w:t xml:space="preserve">확신도.</w:t>
      </w:r>
      <w:r>
        <w:t xml:space="preserve"> 가설. 정정·해명의 *존재*는 공시 기록으로 확인되지만, 그 각각이 단순 오기 수준인지 실질 수치 변경인지는 이 진단만으로 구분되지 않습니다.</w:t>
      </w:r>
    </w:p>
    <w:p>
      <w:pPr>
        <w:jc w:val="both"/>
      </w:pPr>
      <w:r>
        <w:rPr>
          <w:b/>
        </w:rPr>
        <w:t xml:space="preserve">판별 테스트.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11건을 사유별로 분류 — 단순 오탈자/형식 정정과 실질 수치·일정 변경을 나누어, 후자의 비중을 확인합니다.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6월 10일 해명 공시의 대상 보도가 무엇이었는지, 이후 확정 공시로 종결되었는지 후속 이력을 추적합니다.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검수 체인(작성→검토→승인) 단계별 반려 이력을 점검해 반복 정정의 발생 지점을 특정합니다.</w:t>
      </w:r>
    </w:p>
    <w:p>
      <w:pPr>
        <w:jc w:val="both"/>
      </w:pPr>
      <w:r>
        <w:rPr>
          <w:b/>
        </w:rPr>
        <w:t xml:space="preserve">권고 조치.</w:t>
      </w:r>
      <w:r>
        <w:t xml:space="preserve"> 공시 담당 조직에 최근 90일 정정 사유 요약과 해명 공시 종결 현황을 요청하시고, 실질 수치 변경 정정이 다수라면 공시 전 검수 관문을 1단계 보강하는 방안을 검토하시기 바랍니다.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이번 진단에서 발화된 리스크는 E5(공시 행간) 1건뿐</w:t>
      </w:r>
      <w:r>
        <w:t xml:space="preserve">입니다. 아래 축은 모두 임계값 미달로 미발화 상태이며, 리스크로 승격하지 않았습니다.</w:t>
      </w:r>
    </w:p>
    <w:p>
      <w:pPr>
        <w:pStyle w:val="ListParagraph"/>
        <w:numPr>
          <w:ilvl w:val="1"/>
          <w:numId w:val="1"/>
        </w:numPr>
        <w:jc w:val="both"/>
      </w:pPr>
      <w:r>
        <w:rPr>
          <w:b/>
        </w:rPr>
        <w:t xml:space="preserve">수익-채권 괴리(E1)·재고 적체(E2)</w:t>
      </w:r>
      <w:r>
        <w:t xml:space="preserve">: 매출 증가 흐름 대비 채권·재고가 오히려 줄어드는 방향이어서, 이익의 현금화나 재고 부담 측면의 경보 임계값에 닿지 않았습니다.</w:t>
      </w:r>
    </w:p>
    <w:p>
      <w:pPr>
        <w:pStyle w:val="ListParagraph"/>
        <w:numPr>
          <w:ilvl w:val="1"/>
          <w:numId w:val="1"/>
        </w:numPr>
        <w:jc w:val="both"/>
      </w:pPr>
      <w:r>
        <w:rPr>
          <w:b/>
        </w:rPr>
        <w:t xml:space="preserve">차입·이자 부담(E3)</w:t>
      </w:r>
      <w:r>
        <w:t xml:space="preserve">: 차입 규모가 축소 방향으로 관찰되어 차입 확대 신호는 발화되지 않았습니다. 다만 이자보상 배율 자체의 절대 수준은 별도 재무 검토에서 참고하실 필요가 있습니다.</w:t>
      </w:r>
    </w:p>
    <w:p>
      <w:pPr>
        <w:pStyle w:val="ListParagraph"/>
        <w:numPr>
          <w:ilvl w:val="1"/>
          <w:numId w:val="1"/>
        </w:numPr>
        <w:jc w:val="both"/>
      </w:pPr>
      <w:r>
        <w:rPr>
          <w:b/>
        </w:rPr>
        <w:t xml:space="preserve">유동성(E4)</w:t>
      </w:r>
      <w:r>
        <w:t xml:space="preserve">: 유동비율이 2년 연속 하락하는 패턴은 아니어서 미발화입니다.</w:t>
      </w:r>
    </w:p>
    <w:p>
      <w:pPr>
        <w:pStyle w:val="ListParagraph"/>
        <w:numPr>
          <w:ilvl w:val="1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이익과 영업현금흐름의 괴리가 지속·확대되는 패턴에는 이르지 않아 임계값 미달입니다.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연결재무제표(CFS)와 공시 목록, 거시지표 기반의 </w:t>
      </w:r>
      <w:r>
        <w:rPr>
          <w:b/>
        </w:rPr>
        <w:t xml:space="preserve">결정론적 파생 신호</w:t>
      </w:r>
      <w:r>
        <w:t xml:space="preserve">에 근거하며, 내부 CSV(거래처 집중·원가·공시 대사)·뉴스·시장 축은 이번 진단에 제공되지 않았습니다. 따라서 위 미발화 판정은 "제공된 데이터 기준"의 판정이며, 세부 축이 열리면 결과가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발화된 E5는 공시 *프로세스*에 대한 점검 신호이지, 특정 회계 처리의 적정성에 대한 결론이 아닙니다. 확정 판단은 위 판별 테스트의 실측 결과에 따릅니다.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SK이노베이션(주) — CEO 서명용 경영 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