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신성통상(주)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2026-07-09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신성통상(주) (대표이사 염태순, 종목코드 005390, 사업자등록번호 104-81-01106)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2025 사업연도 연결재무제표(CFS), 공시 관찰 구간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관찰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작성일</w:t>
      </w:r>
      <w:r>
        <w:t xml:space="preserve">: 2026-07-10</w:t>
      </w:r>
    </w:p>
    <w:p>
      <w:pPr>
        <w:pStyle w:val="Heading1"/>
      </w:pPr>
      <w:r>
        <w:rPr>
          <w:b/>
          <w:color w:val="1B2A4A"/>
        </w:rPr>
        <w:t xml:space="preserve">1. 종합 판단</w:t>
      </w:r>
    </w:p>
    <w:p>
      <w:pPr>
        <w:jc w:val="both"/>
      </w:pPr>
      <w:r>
        <w:t xml:space="preserve">이번 진단에서 </w:t>
      </w:r>
      <w:r>
        <w:rPr>
          <w:b/>
        </w:rPr>
        <w:t xml:space="preserve">결정론적 재무·공시 신호(E1~E5) 중 발화(PRESENT)한 항목은 없습니다.</w:t>
      </w:r>
    </w:p>
    <w:p>
      <w:pPr>
        <w:jc w:val="both"/>
      </w:pPr>
      <w:r>
        <w:t xml:space="preserve">서명을 요구할 수준의 확인된 경영리스크는 포착되지 않았으며, 본 브리핑은 (1) 미발화 신호의</w:t>
      </w:r>
    </w:p>
    <w:p>
      <w:pPr>
        <w:jc w:val="both"/>
      </w:pPr>
      <w:r>
        <w:t xml:space="preserve">정성적 요약과 (2) 뉴스 메타데이터 기반 보조 관찰 테마의 교차 확인 권고로 구성됩니다.</w:t>
      </w:r>
    </w:p>
    <w:p>
      <w:pPr>
        <w:pStyle w:val="Heading1"/>
      </w:pPr>
      <w:r>
        <w:rPr>
          <w:b/>
          <w:color w:val="1B2A4A"/>
        </w:rPr>
        <w:t xml:space="preserve">2. 재무·공시 신호 평가 결과 (E1~E5) — 전 항목 미발화</w:t>
      </w:r>
    </w:p>
    <w:p>
      <w:pPr>
        <w:jc w:val="both"/>
      </w:pPr>
      <w:r>
        <w:t xml:space="preserve">다섯 개 신호 모두 평가 가능한 데이터가 확보되었고, 모두 임계값 미달로 미발화했습니다.</w:t>
      </w:r>
    </w:p>
    <w:p>
      <w:pPr>
        <w:jc w:val="both"/>
      </w:pPr>
      <w:r>
        <w:t xml:space="preserve">아래는 정성 요약이며, 미발화 신호의 세부 근거 수치는 리스크 승격 오해를 피하기 위해 인용하지 않습니다.</w:t>
      </w:r>
    </w:p>
    <w:tbl>
      <w:tblPr>
        <w:tblStyle w:val="TableGrid"/>
        <w:tblW w:w="0" w:type="auto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0" w:type="auto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신호</w:t>
            </w:r>
          </w:p>
        </w:tc>
        <w:tc>
          <w:tcPr>
            <w:tcW w:w="0" w:type="auto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평가 결과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 수익-채권 괴리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 — 매출채권이 매출 대비 과도하게 늘어나는 패턴이 관찰되지 않음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 재고 자산 적체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 — 재고 증가와 매출 성장의 괴리가 임계값 미달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 차입 확대·이자 부담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 — 차입 확대·이자보상 저하가 발화 기준에 이르지 않음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 유동성 하락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 — 유동비율이 하락 추세 조건에 해당하지 않음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 공시 행간(정정·해명)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 — 관찰 구간 내 정정·해명 공시 패턴 없음</w:t>
            </w:r>
          </w:p>
        </w:tc>
      </w:tr>
    </w:tbl>
    <w:p>
      <w:pPr>
        <w:jc w:val="both"/>
      </w:pPr>
      <w:r>
        <w:t xml:space="preserve">미발화는 "리스크 없음의 확정"이 아니라 "현 임계값 기준으로 경보 대상이 아님"을 의미합니다.</w:t>
      </w:r>
    </w:p>
    <w:p>
      <w:pPr>
        <w:jc w:val="both"/>
      </w:pPr>
      <w:r>
        <w:t xml:space="preserve">특히 E2(재고)와 E3(이자보상)은 임계값에 근접한 방향성이 있어, 다음 분기 보고서에서 재평가를</w:t>
      </w:r>
    </w:p>
    <w:p>
      <w:pPr>
        <w:jc w:val="both"/>
      </w:pPr>
      <w:r>
        <w:t xml:space="preserve">권고합니다(3절 보조 관찰과 연결).</w:t>
      </w:r>
    </w:p>
    <w:p>
      <w:pPr>
        <w:pStyle w:val="Heading1"/>
      </w:pPr>
      <w:r>
        <w:rPr>
          <w:b/>
          <w:color w:val="1B2A4A"/>
        </w:rPr>
        <w:t xml:space="preserve">3. 뉴스 기반 보조 관찰 (확정 리스크 아님 — 교차 확인 권고)</w:t>
      </w:r>
    </w:p>
    <w:p>
      <w:pPr>
        <w:jc w:val="both"/>
      </w:pPr>
      <w:r>
        <w:t xml:space="preserve">뉴스는 제목·요약·발행일 메타데이터만 사용한 </w:t>
      </w:r>
      <w:r>
        <w:rPr>
          <w:b/>
        </w:rPr>
        <w:t xml:space="preserve">보조 신호</w:t>
      </w:r>
      <w:r>
        <w:t xml:space="preserve">이며, 확정 사실로 취급하지 않습니다.</w:t>
      </w:r>
    </w:p>
    <w:p>
      <w:pPr>
        <w:jc w:val="both"/>
      </w:pPr>
      <w:r>
        <w:t xml:space="preserve">전체 76건(중복 제거)의 최근 기사에서 다음 테마가 감지되었습니다.</w:t>
      </w:r>
    </w:p>
    <w:p>
      <w:pPr>
        <w:pStyle w:val="Heading2"/>
      </w:pPr>
      <w:r>
        <w:rPr>
          <w:b/>
          <w:color w:val="1B2A4A"/>
        </w:rPr>
        <w:t xml:space="preserve">3-1. 브랜드·소비자 테마의 실적 기여 검증 (평판 40건 · 재무 34건 · 산업 35건)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주력 브랜드 탑텐의 판매 호조 보도(스타필드 하남점 여성 언더웨어 판매량 전년 동월 대비 69% 증가, 판매액 67% 증가 — 2026-07-09 다수 매체)가 집중적으로 관찰됩니다. 긍정 신호이나, 단일 점포·단일 카테고리 사례가 전사 실적으로 일반화되는지 검증이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살펴봐야 하는가</w:t>
      </w:r>
      <w:r>
        <w:t xml:space="preserve">: 특정 점포의 성공 사례가 언론에 반복 노출되면 내부 의사결정에서도 전사 실적 개선으로 과대 해석되기 쉽고, 그 사이 재고·믹스 전략이 특정 카테고리에 과잉 배분될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(뉴스 메타데이터만 근거)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채널별·브랜드별 월간 매출과 재고 회전율을 분리 집계해 언더웨어 카테고리 성장이 전사 매출 성장률(-2% 근방으로 보고된 연간 추세)과 어떻게 배치되는지 확인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다음 분기 보고서에서 재고자산 평가손실 주석과 제품군별 재고 구성 변화를 함께 점검 (E2 재평가와 연동)</w:t>
      </w:r>
    </w:p>
    <w:p>
      <w:pPr>
        <w:pStyle w:val="Heading2"/>
      </w:pPr>
      <w:r>
        <w:rPr>
          <w:b/>
          <w:color w:val="1B2A4A"/>
        </w:rPr>
        <w:t xml:space="preserve">3-2. 투자·확장 테마의 자금 소요 점검 (투자 17건 · 사업 22건)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매장 리뉴얼(지오지아 리뉴얼 매장 매출 26% 증가 보도), 스포츠 라인·키즈 라인 확장, AI 리테일 솔루션 도입 등 확장성 투자 보도가 이어지고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살펴봐야 하는가</w:t>
      </w:r>
      <w:r>
        <w:t xml:space="preserve">: 확장 투자는 성장 기회인 동시에 현금 소요입니다. 현재 차입·유동성 신호는 미발화 상태이지만, 확장 속도가 빨라지면 이자보상 여력의 방향성이 먼저 움직입니다.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투자 현금흐름과 차입금 만기 구조(주석)를 대조해 확장 CAPEX 가 단기 차입에 의존하는지 확인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리뉴얼·신규 출점의 점포별 회수 기간 기준을 정하고, 기준 미달 점포의 후속 투자를 보류하는 게이트 운영</w:t>
      </w:r>
    </w:p>
    <w:p>
      <w:pPr>
        <w:pStyle w:val="Heading2"/>
      </w:pPr>
      <w:r>
        <w:rPr>
          <w:b/>
          <w:color w:val="1B2A4A"/>
        </w:rPr>
        <w:t xml:space="preserve">3-3. 규제·운영 리스크 테마 (28건)</w:t>
      </w:r>
    </w:p>
    <w:p>
      <w:pPr>
        <w:jc w:val="both"/>
      </w:pPr>
      <w:r>
        <w:t xml:space="preserve">해당 카테고리로 분류된 기사들은 키워드 매칭에 의한 것으로, 실제 내용은 POS 시스템 구축·업계</w:t>
      </w:r>
    </w:p>
    <w:p>
      <w:pPr>
        <w:jc w:val="both"/>
      </w:pPr>
      <w:r>
        <w:t xml:space="preserve">동향 등 당사 고유의 규제·소송 사안으로 보기 어려운 건이 대부분입니다. 관찰 구간 내 정정·해명</w:t>
      </w:r>
    </w:p>
    <w:p>
      <w:pPr>
        <w:jc w:val="both"/>
      </w:pPr>
      <w:r>
        <w:t xml:space="preserve">공시도 없어(E5 미발화) 현 시점 조치 대상은 아니며, 분기별 모니터링 유지를 권고합니다.</w:t>
      </w:r>
    </w:p>
    <w:p>
      <w:pPr>
        <w:pStyle w:val="Heading1"/>
      </w:pPr>
      <w:r>
        <w:rPr>
          <w:b/>
          <w:color w:val="1B2A4A"/>
        </w:rPr>
        <w:t xml:space="preserve">4. 권고 요약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1. </w:t>
      </w:r>
      <w:r>
        <w:rPr>
          <w:b/>
        </w:rPr>
        <w:t xml:space="preserve">분기 재평가</w:t>
      </w:r>
      <w:r>
        <w:t xml:space="preserve">: 다음 분기보고서 공시 시점에 E1~E5 재실행 (특히 재고·이자보상 방향성)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2. </w:t>
      </w:r>
      <w:r>
        <w:rPr>
          <w:b/>
        </w:rPr>
        <w:t xml:space="preserve">탑텐 성과의 전사 검증</w:t>
      </w:r>
      <w:r>
        <w:t xml:space="preserve">: 채널·카테고리 분리 집계로 보도 성과와 전사 추세의 간극 확인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3. </w:t>
      </w:r>
      <w:r>
        <w:rPr>
          <w:b/>
        </w:rPr>
        <w:t xml:space="preserve">확장 투자 게이트</w:t>
      </w:r>
      <w:r>
        <w:t xml:space="preserve">: 점포 리뉴얼·신규 라인의 회수 기간 기준 명문화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재무제표(2025 연결), 한국은행 ECOS 거시지표, 네이버 뉴스 메타데이터(제목·요약·발행일·링크)만을 근거로 하며, </w:t>
      </w:r>
      <w:r>
        <w:rPr>
          <w:b/>
        </w:rPr>
        <w:t xml:space="preserve">내부 회계 데이터(원장·거래처·원가)는 제공되지 않아 내부 축(S1~S4) 진단은 수행되지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신호 미발화는 현 임계값 기준의 판정이며, 임계값 인근의 변화나 분기 단위의 단기 변동은 연간 데이터에서 가려질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기반 관찰은 언론 보도의 존재를 확인한 것일 뿐 사실관계를 검증한 것이 아니며, 각 항목의 판별 테스트를 통과하기 전까지는 가설로 취급해야 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문서의 어떤 서술도 회계 처리의 적정성에 대한 감사 의견이 아니며, 외부감사인·내부감사 기구의 판단을 대체하지 않습니다.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본 문서는 CEO 경영 판단 보조 자료이며 투자자문·투자권유가 아닙니다 · Trusted CEO Agent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서명용 경영리스크 브리핑 — 신성통상(주)</w:t>
    </w:r>
    <w:r>
      <w:rPr>
        <w:color w:val="A6A6A6"/>
        <w:sz w:val="16"/>
      </w:rPr>
      <w:tab/>
    </w:r>
    <w:r>
      <w:rPr>
        <w:b/>
        <w:color w:val="D04A02"/>
        <w:sz w:val="16"/>
      </w:rPr>
      <w:t>대외비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신성통상(주)</dc:title>
  <dc:creator>Trusted CEO Agent</dc:creator>
  <cp:lastModifiedBy>Trusted CEO Agent</cp:lastModifiedBy>
  <dcterms:created xsi:type="dcterms:W3CDTF">2026-07-09T00:00:00Z</dcterms:created>
  <dcterms:modified xsi:type="dcterms:W3CDTF">2026-07-09T00:00:00Z</dcterms:modified>
</cp:coreProperties>
</file>