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hd w:val="clear" w:color="auto" w:fill="D04A02"/>
        <w:spacing w:before="0" w:after="480"/>
      </w:pPr>
      <w:r>
        <w:t xml:space="preserve"> </w:t>
      </w:r>
    </w:p>
    <w:p>
      <w:pPr>
        <w:spacing w:before="1200" w:after="120"/>
      </w:pPr>
      <w:r>
        <w:rPr>
          <w:color w:val="595959"/>
          <w:sz w:val="22"/>
          <w:szCs w:val="22"/>
        </w:rPr>
        <w:t xml:space="preserve">CEO 경영 리스크 브리핑</w:t>
      </w:r>
    </w:p>
    <w:p>
      <w:pPr>
        <w:spacing w:after="360"/>
      </w:pPr>
      <w:r>
        <w:rPr>
          <w:b/>
          <w:color w:val="1B2A4A"/>
          <w:sz w:val="52"/>
          <w:szCs w:val="52"/>
        </w:rPr>
        <w:t xml:space="preserve">네이버(주) CEO 서명용 리스크 브리핑</w:t>
      </w:r>
    </w:p>
    <w:p>
      <w:pPr>
        <w:spacing w:after="160"/>
      </w:pPr>
      <w:r>
        <w:rPr>
          <w:b/>
          <w:color w:val="D04A02"/>
          <w:sz w:val="20"/>
          <w:szCs w:val="20"/>
        </w:rPr>
        <w:t xml:space="preserve">대외비 · Confidential</w:t>
      </w:r>
    </w:p>
    <w:p>
      <w:pPr>
        <w:spacing w:after="600"/>
      </w:pPr>
      <w:r>
        <w:rPr>
          <w:color w:val="595959"/>
          <w:sz w:val="20"/>
          <w:szCs w:val="20"/>
        </w:rPr>
        <w:t xml:space="preserve">작성일 2026-07-10</w:t>
      </w:r>
    </w:p>
    <w:p>
      <w:pPr>
        <w:spacing w:before="2400" w:after="0"/>
      </w:pPr>
      <w:r>
        <w:rPr>
          <w:color w:val="A6A6A6"/>
          <w:sz w:val="16"/>
          <w:szCs w:val="16"/>
        </w:rPr>
        <w:t xml:space="preserve">본 보고서는 trusted-ceo-agent 진단 파이프라인(불변식 게이트 → 결정론 신호 파생 → 자동 채점)을 통과한 데이터에 기반해 작성되었으며, CEO 경영 판단 보조 자료로서 투자자문·투자권유가 아닙니다.</w:t>
      </w:r>
    </w:p>
    <w:p>
      <w:r>
        <w:br w:type="page"/>
      </w:r>
    </w:p>
    <w:p>
      <w:pPr>
        <w:pStyle w:val="Heading1"/>
      </w:pPr>
      <w:r>
        <w:rPr>
          <w:b/>
          <w:color w:val="1B2A4A"/>
        </w:rPr>
        <w:t xml:space="preserve">Executive Snapshot</w:t>
      </w:r>
    </w:p>
    <w:p>
      <w:pPr>
        <w:jc w:val="center"/>
        <w:spacing w:before="120" w:after="240"/>
      </w:pPr>
      <w:r>
        <w:drawing>
          <wp:inline xmlns:wp="http://schemas.openxmlformats.org/drawingml/2006/wordprocessingDrawing" distT="0" distB="0" distL="0" distR="0">
            <wp:extent cx="5943600" cy="3714750"/>
            <wp:effectExtent l="0" t="0" r="0" b="0"/>
            <wp:docPr id="1" name="Executive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ecutive-summary.png"/>
                    <pic:cNvPicPr/>
                  </pic:nvPicPr>
                  <pic:blipFill>
                    <a:blip xmlns:r="http://schemas.openxmlformats.org/officeDocument/2006/relationships" r:embed="rIdSnapshot"/>
                    <a:stretch>
                      <a:fillRect/>
                    </a:stretch>
                  </pic:blipFill>
                  <pic:spPr>
                    <a:xfrm>
                      <a:off x="0" y="0"/>
                      <a:ext cx="5943600" cy="3714750"/>
                    </a:xfrm>
                    <a:prstGeom prst="rect">
                      <a:avLst/>
                    </a:prstGeom>
                  </pic:spPr>
                </pic:pic>
              </a:graphicData>
            </a:graphic>
          </wp:inline>
        </w:drawing>
      </w:r>
    </w:p>
    <w:p>
      <w:r>
        <w:br w:type="page"/>
      </w:r>
    </w:p>
    <w:p>
      <w:pPr>
        <w:pStyle w:val="Heading1"/>
      </w:pPr>
      <w:r>
        <w:rPr>
          <w:b/>
          <w:color w:val="1B2A4A"/>
        </w:rPr>
        <w:t xml:space="preserve">핵심 리스크 한눈에 보기</w:t>
      </w:r>
    </w:p>
    <w:tbl>
      <w:tblPr>
        <w:tblStyle w:val="TableGrid"/>
        <w:tblW w:w="907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r>
        <w:tc>
          <w:tcPr>
            <w:tcW w:w="700" w:type="dxa"/>
            <w:shd w:val="clear" w:color="auto" w:fill="F2E8E0"/>
            <w:vAlign w:val="center"/>
          </w:tcPr>
          <w:p>
            <w:pPr>
              <w:spacing w:before="60" w:after="60"/>
            </w:pPr>
            <w:r>
              <w:rPr>
                <w:b/>
                <w:color w:val="1B2A4A"/>
                <w:sz w:val="19"/>
                <w:szCs w:val="19"/>
              </w:rPr>
              <w:t xml:space="preserve">구분</w:t>
            </w:r>
          </w:p>
        </w:tc>
        <w:tc>
          <w:tcPr>
            <w:tcW w:w="3300" w:type="dxa"/>
            <w:shd w:val="clear" w:color="auto" w:fill="F2E8E0"/>
            <w:vAlign w:val="center"/>
          </w:tcPr>
          <w:p>
            <w:pPr>
              <w:spacing w:before="60" w:after="60"/>
            </w:pPr>
            <w:r>
              <w:rPr>
                <w:b/>
                <w:color w:val="1B2A4A"/>
                <w:sz w:val="19"/>
                <w:szCs w:val="19"/>
              </w:rPr>
              <w:t xml:space="preserve">리스크</w:t>
            </w:r>
          </w:p>
        </w:tc>
        <w:tc>
          <w:tcPr>
            <w:tcW w:w="1100" w:type="dxa"/>
            <w:shd w:val="clear" w:color="auto" w:fill="F2E8E0"/>
            <w:vAlign w:val="center"/>
          </w:tcPr>
          <w:p>
            <w:pPr>
              <w:spacing w:before="60" w:after="60"/>
            </w:pPr>
            <w:r>
              <w:rPr>
                <w:b/>
                <w:color w:val="1B2A4A"/>
                <w:sz w:val="19"/>
                <w:szCs w:val="19"/>
              </w:rPr>
              <w:t xml:space="preserve">확신도</w:t>
            </w:r>
          </w:p>
        </w:tc>
        <w:tc>
          <w:tcPr>
            <w:tcW w:w="3970" w:type="dxa"/>
            <w:shd w:val="clear" w:color="auto" w:fill="F2E8E0"/>
            <w:vAlign w:val="center"/>
          </w:tcPr>
          <w:p>
            <w:pPr>
              <w:spacing w:before="60" w:after="60"/>
            </w:pPr>
            <w:r>
              <w:rPr>
                <w:b/>
                <w:color w:val="1B2A4A"/>
                <w:sz w:val="19"/>
                <w:szCs w:val="19"/>
              </w:rPr>
              <w:t xml:space="preserve">최우선 조치</w:t>
            </w:r>
          </w:p>
        </w:tc>
      </w:tr>
      <w:tr>
        <w:tc>
          <w:tcPr>
            <w:tcW w:w="700" w:type="dxa"/>
            <w:vAlign w:val="center"/>
          </w:tcPr>
          <w:p>
            <w:pPr>
              <w:spacing w:before="60" w:after="60"/>
            </w:pPr>
            <w:r>
              <w:rPr>
                <w:b/>
                <w:color w:val="D04A02"/>
                <w:sz w:val="19"/>
                <w:szCs w:val="19"/>
              </w:rPr>
              <w:t xml:space="preserve">R1</w:t>
            </w:r>
          </w:p>
        </w:tc>
        <w:tc>
          <w:tcPr>
            <w:tcW w:w="3300" w:type="dxa"/>
            <w:vAlign w:val="center"/>
          </w:tcPr>
          <w:p>
            <w:pPr>
              <w:spacing w:before="60" w:after="60"/>
            </w:pPr>
            <w:r>
              <w:rPr>
                <w:b/>
                <w:sz w:val="19"/>
                <w:szCs w:val="19"/>
              </w:rPr>
              <w:t xml:space="preserve">시장·현금흐름 괴리: 시가총액 급락이 영업 성과와 역방향 (E6)</w:t>
            </w:r>
          </w:p>
        </w:tc>
        <w:tc>
          <w:tcPr>
            <w:tcW w:w="1100" w:type="dxa"/>
            <w:vAlign w:val="center"/>
          </w:tcPr>
          <w:p>
            <w:pPr>
              <w:spacing w:before="60" w:after="60"/>
            </w:pPr>
            <w:r>
              <w:rPr>
                <w:b/>
                <w:color w:val="B45309"/>
                <w:sz w:val="19"/>
                <w:szCs w:val="19"/>
              </w:rPr>
              <w:t xml:space="preserve">가설</w:t>
            </w:r>
          </w:p>
        </w:tc>
        <w:tc>
          <w:tcPr>
            <w:tcW w:w="3970" w:type="dxa"/>
            <w:vAlign w:val="center"/>
          </w:tcPr>
          <w:p>
            <w:pPr>
              <w:spacing w:before="60" w:after="60"/>
            </w:pPr>
            <w:r>
              <w:rPr>
                <w:sz w:val="19"/>
                <w:szCs w:val="19"/>
              </w:rPr>
              <w:t xml:space="preserve">CFO·IR 합동으로 90일 낙폭 구간의 원인 분해 보고(시장 요인 vs 회사 요인)를 2주 내 받으시고, 주가 연동 재무 트리거 목록을 이사회에 공유하십시오.</w:t>
            </w:r>
          </w:p>
        </w:tc>
      </w:tr>
      <w:tr>
        <w:tc>
          <w:tcPr>
            <w:tcW w:w="700" w:type="dxa"/>
            <w:vAlign w:val="center"/>
          </w:tcPr>
          <w:p>
            <w:pPr>
              <w:spacing w:before="60" w:after="60"/>
            </w:pPr>
            <w:r>
              <w:rPr>
                <w:b/>
                <w:color w:val="D04A02"/>
                <w:sz w:val="19"/>
                <w:szCs w:val="19"/>
              </w:rPr>
              <w:t xml:space="preserve">R2</w:t>
            </w:r>
          </w:p>
        </w:tc>
        <w:tc>
          <w:tcPr>
            <w:tcW w:w="3300" w:type="dxa"/>
            <w:vAlign w:val="center"/>
          </w:tcPr>
          <w:p>
            <w:pPr>
              <w:spacing w:before="60" w:after="60"/>
            </w:pPr>
            <w:r>
              <w:rPr>
                <w:b/>
                <w:sz w:val="19"/>
                <w:szCs w:val="19"/>
              </w:rPr>
              <w:t xml:space="preserve">해명 공시 전 주가 이상 변동: 정보 관리 리스크 (E7)</w:t>
            </w:r>
          </w:p>
        </w:tc>
        <w:tc>
          <w:tcPr>
            <w:tcW w:w="1100" w:type="dxa"/>
            <w:vAlign w:val="center"/>
          </w:tcPr>
          <w:p>
            <w:pPr>
              <w:spacing w:before="60" w:after="60"/>
            </w:pPr>
            <w:r>
              <w:rPr>
                <w:b/>
                <w:color w:val="B45309"/>
                <w:sz w:val="19"/>
                <w:szCs w:val="19"/>
              </w:rPr>
              <w:t xml:space="preserve">가설</w:t>
            </w:r>
          </w:p>
        </w:tc>
        <w:tc>
          <w:tcPr>
            <w:tcW w:w="3970" w:type="dxa"/>
            <w:vAlign w:val="center"/>
          </w:tcPr>
          <w:p>
            <w:pPr>
              <w:spacing w:before="60" w:after="60"/>
            </w:pPr>
            <w:r>
              <w:rPr>
                <w:sz w:val="19"/>
                <w:szCs w:val="19"/>
              </w:rPr>
              <w:t xml:space="preserve">준법지원인 주관으로 해당 건의 정보 흐름 타임라인을 재구성하게 하시고, 결과에 따라 자율 신고 여부를 법무 검토와 함께 판단하십시오. 선제 조치 기록 자체가 방어 자산이 됩니다.</w:t>
            </w:r>
          </w:p>
        </w:tc>
      </w:tr>
      <w:tr>
        <w:tc>
          <w:tcPr>
            <w:tcW w:w="700" w:type="dxa"/>
            <w:vAlign w:val="center"/>
          </w:tcPr>
          <w:p>
            <w:pPr>
              <w:spacing w:before="60" w:after="60"/>
            </w:pPr>
            <w:r>
              <w:rPr>
                <w:b/>
                <w:color w:val="D04A02"/>
                <w:sz w:val="19"/>
                <w:szCs w:val="19"/>
              </w:rPr>
              <w:t xml:space="preserve">R3</w:t>
            </w:r>
          </w:p>
        </w:tc>
        <w:tc>
          <w:tcPr>
            <w:tcW w:w="3300" w:type="dxa"/>
            <w:vAlign w:val="center"/>
          </w:tcPr>
          <w:p>
            <w:pPr>
              <w:spacing w:before="60" w:after="60"/>
            </w:pPr>
            <w:r>
              <w:rPr>
                <w:b/>
                <w:sz w:val="19"/>
                <w:szCs w:val="19"/>
              </w:rPr>
              <w:t xml:space="preserve">공시 정정·해명 반복: 공시 품질·커뮤니케이션 패턴 (E5)</w:t>
            </w:r>
          </w:p>
        </w:tc>
        <w:tc>
          <w:tcPr>
            <w:tcW w:w="1100" w:type="dxa"/>
            <w:vAlign w:val="center"/>
          </w:tcPr>
          <w:p>
            <w:pPr>
              <w:spacing w:before="60" w:after="60"/>
            </w:pPr>
            <w:r>
              <w:rPr>
                <w:b/>
                <w:color w:val="1F7A33"/>
                <w:sz w:val="19"/>
                <w:szCs w:val="19"/>
              </w:rPr>
              <w:t xml:space="preserve">확인됨</w:t>
            </w:r>
          </w:p>
        </w:tc>
        <w:tc>
          <w:tcPr>
            <w:tcW w:w="3970" w:type="dxa"/>
            <w:vAlign w:val="center"/>
          </w:tcPr>
          <w:p>
            <w:pPr>
              <w:spacing w:before="60" w:after="60"/>
            </w:pPr>
            <w:r>
              <w:rPr>
                <w:sz w:val="19"/>
                <w:szCs w:val="19"/>
              </w:rPr>
              <w:t xml:space="preserve">공시 담당 임원에게 90일 정정·해명 5건의 원인 보고서를 받으시고, 수치 변경성 정정이 1건이라도 있으면 공시 검수 체인을 재설계 대상으로 지정하십시오.</w:t>
            </w:r>
          </w:p>
        </w:tc>
      </w:tr>
    </w:tbl>
    <w:p>
      <w:pPr>
        <w:spacing w:before="80" w:after="240"/>
      </w:pPr>
      <w:r>
        <w:rPr>
          <w:color w:val="A6A6A6"/>
          <w:sz w:val="17"/>
          <w:szCs w:val="17"/>
        </w:rPr>
        <w:t xml:space="preserve">표의 확신도는 본문 각 리스크 절의 확신도 표기를 그대로 요약한 것입니다. 상세 근거 수치와 판별 테스트는 본문을 참조하십시오.</w:t>
      </w:r>
    </w:p>
    <w:p>
      <w:pPr>
        <w:pStyle w:val="ListParagraph"/>
        <w:numPr>
          <w:ilvl w:val="0"/>
          <w:numId w:val="1"/>
        </w:numPr>
        <w:jc w:val="both"/>
      </w:pPr>
      <w:r>
        <w:rPr>
          <w:b/>
        </w:rPr>
        <w:t xml:space="preserve">대상 기업</w:t>
      </w:r>
      <w:r>
        <w:t xml:space="preserve">: 네이버(주) (종목코드 035420, 사업자등록번호 2208162517, 대표이사 최수연)</w:t>
      </w:r>
    </w:p>
    <w:p>
      <w:pPr>
        <w:pStyle w:val="ListParagraph"/>
        <w:numPr>
          <w:ilvl w:val="0"/>
          <w:numId w:val="1"/>
        </w:numPr>
        <w:jc w:val="both"/>
      </w:pPr>
      <w:r>
        <w:rPr>
          <w:b/>
        </w:rPr>
        <w:t xml:space="preserve">기준 데이터</w:t>
      </w:r>
      <w:r>
        <w:t xml:space="preserve">: 2025 회계연도 연결재무제표(CFS), 최근 90일 공시 창, 최근 100영업일 시세(최종 기준일 20260709), 한국은행 기준금리(ECOS)</w:t>
      </w:r>
    </w:p>
    <w:p>
      <w:pPr>
        <w:pStyle w:val="ListParagraph"/>
        <w:numPr>
          <w:ilvl w:val="0"/>
          <w:numId w:val="1"/>
        </w:numPr>
        <w:jc w:val="both"/>
      </w:pPr>
      <w:r>
        <w:rPr>
          <w:b/>
        </w:rPr>
        <w:t xml:space="preserve">거시 환경</w:t>
      </w:r>
      <w:r>
        <w:t xml:space="preserve">: 한국은행 기준금리 2.5% (20260707 기준, 조회 구간 내 변동 없음)</w:t>
      </w:r>
    </w:p>
    <w:p>
      <w:pPr>
        <w:pStyle w:val="Heading1"/>
      </w:pPr>
      <w:r>
        <w:rPr>
          <w:b/>
          <w:color w:val="1B2A4A"/>
        </w:rPr>
        <w:t xml:space="preserve">요약</w:t>
      </w:r>
    </w:p>
    <w:p>
      <w:pPr>
        <w:pBdr>
          <w:left w:val="single" w:sz="24" w:space="8" w:color="D04A02"/>
        </w:pBdr>
        <w:shd w:val="clear" w:color="auto" w:fill="FBF4EE"/>
        <w:spacing w:before="60" w:after="120" w:line="276" w:lineRule="auto"/>
        <w:ind w:left="284" w:right="284"/>
        <w:jc w:val="both"/>
      </w:pPr>
      <w:r>
        <w:t xml:space="preserve">결정론 진단에서 발화(PRESENT)한 신호는 3건입니다 — </w:t>
      </w:r>
      <w:r>
        <w:rPr>
          <w:b/>
        </w:rPr>
        <w:t xml:space="preserve">E6 시장·현금흐름 괴리</w:t>
      </w:r>
      <w:r>
        <w:t xml:space="preserve">, </w:t>
      </w:r>
      <w:r>
        <w:rPr>
          <w:b/>
        </w:rPr>
        <w:t xml:space="preserve">E7 해명 공시 전 주가 이상 변동</w:t>
      </w:r>
      <w:r>
        <w:t xml:space="preserve">, </w:t>
      </w:r>
      <w:r>
        <w:rPr>
          <w:b/>
        </w:rPr>
        <w:t xml:space="preserve">E5 공시 정정·해명 패턴</w:t>
      </w:r>
      <w:r>
        <w:t xml:space="preserve">. 세 신호는 서로 독립적이지 않습니다. 시장이 회사의 현금 창출력과 반대 방향으로 움직이는 가운데(E6), 풍문·보도에 대한 해명 공시가 반복되고(E5), 그중 한 건은 공시 이전에 주가가 먼저 움직였습니다(E7). 종합하면 "시장이 알고 있는 무언가"와 "회사가 공시로 관리하는 정보" 사이의 간극, 즉 </w:t>
      </w:r>
      <w:r>
        <w:rPr>
          <w:b/>
        </w:rPr>
        <w:t xml:space="preserve">정보 관리·시장 커뮤니케이션 리스크</w:t>
      </w:r>
      <w:r>
        <w:t xml:space="preserve">로 수렴합니다.</w:t>
      </w:r>
    </w:p>
    <w:p>
      <w:pPr>
        <w:pStyle w:val="Heading1"/>
      </w:pPr>
      <w:r>
        <w:rPr>
          <w:b/>
          <w:color w:val="1B2A4A"/>
        </w:rPr>
        <w:t xml:space="preserve">리스크 1 — 시장·현금흐름 괴리: 시가총액 급락이 영업 성과와 역방향 (E6)</w:t>
      </w:r>
    </w:p>
    <w:p>
      <w:pPr>
        <w:jc w:val="both"/>
      </w:pPr>
      <w:r>
        <w:rPr>
          <w:b/>
          <w:color w:val="1B2A4A"/>
        </w:rPr>
        <w:t xml:space="preserve">결론. </w:t>
      </w:r>
      <w:r>
        <w:t xml:space="preserve">최근 90일간 시가총액이 27.4% 하락했으나 같은 기간 회사의 영업활동 현금흐름은 오히려 성장했습니다. 시장의 평가 절하가 장부상 실적으로 설명되지 않는 상태입니다.</w:t>
      </w:r>
    </w:p>
    <w:p>
      <w:pPr>
        <w:spacing w:before="240" w:after="80"/>
      </w:pPr>
      <w:r>
        <w:rPr>
          <w:b/>
          <w:color w:val="1B2A4A"/>
          <w:sz w:val="22"/>
          <w:szCs w:val="22"/>
        </w:rPr>
        <w:t xml:space="preserve">**근거 (수치·출처)**</w:t>
      </w:r>
    </w:p>
    <w:p>
      <w:pPr>
        <w:pStyle w:val="ListParagraph"/>
        <w:numPr>
          <w:ilvl w:val="0"/>
          <w:numId w:val="1"/>
        </w:numPr>
        <w:jc w:val="both"/>
      </w:pPr>
      <w:r>
        <w:t xml:space="preserve">시가총액 39.8조 → 28.9조 원, </w:t>
      </w:r>
      <w:r>
        <w:rPr>
          <w:b/>
        </w:rPr>
        <w:t xml:space="preserve">-27.4%</w:t>
      </w:r>
      <w:r>
        <w:t xml:space="preserve"> (90일 창, KRX 시세 기준)</w:t>
      </w:r>
    </w:p>
    <w:p>
      <w:pPr>
        <w:pStyle w:val="ListParagraph"/>
        <w:numPr>
          <w:ilvl w:val="0"/>
          <w:numId w:val="1"/>
        </w:numPr>
        <w:jc w:val="both"/>
      </w:pPr>
      <w:r>
        <w:t xml:space="preserve">영업활동 현금흐름 성장률 </w:t>
      </w:r>
      <w:r>
        <w:rPr>
          <w:b/>
        </w:rPr>
        <w:t xml:space="preserve">+19.5%</w:t>
      </w:r>
      <w:r>
        <w:t xml:space="preserve"> (DART 연결재무제표 기준)</w:t>
      </w:r>
    </w:p>
    <w:p>
      <w:pPr>
        <w:pStyle w:val="ListParagraph"/>
        <w:numPr>
          <w:ilvl w:val="0"/>
          <w:numId w:val="1"/>
        </w:numPr>
        <w:jc w:val="both"/>
      </w:pPr>
      <w:r>
        <w:t xml:space="preserve">판정 모드: market-drop (시장 하락 주도형 괴리)</w:t>
      </w:r>
    </w:p>
    <w:p>
      <w:pPr>
        <w:jc w:val="both"/>
      </w:pPr>
      <w:r>
        <w:rPr>
          <w:b/>
        </w:rPr>
        <w:t xml:space="preserve">왜 문제인가 (인과 사슬)</w:t>
      </w:r>
      <w:r>
        <w:t xml:space="preserve">: 현금 창출력이 개선되는 회사의 시총이 4분의 1 넘게 빠졌다면, 시장은 재무제표에 아직 반영되지 않은 요인 — 규제 방향, 경쟁 구도 변화, 미래 수익성에 대한 재평가 — 을 가격에 먼저 반영하고 있을 가능성이 있습니다. 이 간극을 방치하면 (1) 주가 연동 조건이 걸린 계약·조달 수단이 있을 경우 재무 트리거가 먼저 작동하고, (2) 시장이 옳았을 경우 다음 결산에서 실적 충격으로 뒤늦게 확인되며, (3) 시장이 틀렸을 경우 저평가 구간에서 불필요한 자본 비용을 치르게 됩니다. 어느 쪽이든 CEO가 간극의 원인을 먼저 규명해야 대응 선택지가 생깁니다.</w:t>
      </w:r>
    </w:p>
    <w:p>
      <w:pPr>
        <w:jc w:val="both"/>
      </w:pPr>
      <w:r>
        <w:rPr>
          <w:b/>
          <w:color w:val="1B2A4A"/>
        </w:rPr>
        <w:t xml:space="preserve">확신도. </w:t>
      </w:r>
      <w:r>
        <w:rPr>
          <w:b/>
          <w:color w:val="B45309"/>
        </w:rPr>
        <w:t xml:space="preserve">가설</w:t>
      </w:r>
      <w:r>
        <w:t xml:space="preserve"> (시총 하락과 현금흐름 성장의 동시 발생은 계산된 사실이나, 그 원인은 미확인)</w:t>
      </w:r>
    </w:p>
    <w:p>
      <w:pPr>
        <w:jc w:val="both"/>
      </w:pPr>
      <w:r>
        <w:rPr>
          <w:b/>
          <w:color w:val="1B2A4A"/>
        </w:rPr>
        <w:t xml:space="preserve">판별 테스트. </w:t>
      </w:r>
    </w:p>
    <w:p>
      <w:pPr>
        <w:jc w:val="both"/>
      </w:pPr>
      <w:r>
        <w:t xml:space="preserve">1. 시총 급락 구간의 뉴스·공시 이벤트를 일자별로 대조 — 시장이 반응한 정보가 장부·공시에 반영돼 있는지 확인</w:t>
      </w:r>
    </w:p>
    <w:p>
      <w:pPr>
        <w:jc w:val="both"/>
      </w:pPr>
      <w:r>
        <w:t xml:space="preserve">2. 담보 제공·전환사채·차입 약정(covenant) 중 주가 연동 트리거가 있는 계약 전수 점검</w:t>
      </w:r>
    </w:p>
    <w:p>
      <w:pPr>
        <w:jc w:val="both"/>
      </w:pPr>
      <w:r>
        <w:t xml:space="preserve">3. 주요 사업부의 수주·계약 파이프라인 실사로 "시장이 선반영한 미래"와 내부 전망의 차이 계량화</w:t>
      </w:r>
    </w:p>
    <w:p>
      <w:pPr>
        <w:jc w:val="both"/>
      </w:pPr>
      <w:r>
        <w:rPr>
          <w:b/>
          <w:color w:val="1B2A4A"/>
        </w:rPr>
        <w:t xml:space="preserve">권고 조치. </w:t>
      </w:r>
      <w:r>
        <w:t xml:space="preserve">CFO·IR 합동으로 90일 낙폭 구간의 원인 분해 보고(시장 요인 vs 회사 요인)를 2주 내 받으시고, 주가 연동 재무 트리거 목록을 이사회에 공유하십시오.</w:t>
      </w:r>
    </w:p>
    <w:p>
      <w:pPr>
        <w:pStyle w:val="Heading1"/>
      </w:pPr>
      <w:r>
        <w:rPr>
          <w:b/>
          <w:color w:val="1B2A4A"/>
        </w:rPr>
        <w:t xml:space="preserve">리스크 2 — 해명 공시 전 주가 이상 변동: 정보 관리 리스크 (E7)</w:t>
      </w:r>
    </w:p>
    <w:p>
      <w:pPr>
        <w:jc w:val="both"/>
      </w:pPr>
      <w:r>
        <w:rPr>
          <w:b/>
          <w:color w:val="1B2A4A"/>
        </w:rPr>
        <w:t xml:space="preserve">결론. </w:t>
      </w:r>
      <w:r>
        <w:t xml:space="preserve">최근 90일 내 풍문·보도 해명 공시 2건 중 1건에서 공시 이전에 주가가 이상 변동한 사실이 확인됐습니다. 중요 정보가 공시 전에 시장에 유통됐을 가능성을 점검해야 합니다.</w:t>
      </w:r>
    </w:p>
    <w:p>
      <w:pPr>
        <w:spacing w:before="240" w:after="80"/>
      </w:pPr>
      <w:r>
        <w:rPr>
          <w:b/>
          <w:color w:val="1B2A4A"/>
          <w:sz w:val="22"/>
          <w:szCs w:val="22"/>
        </w:rPr>
        <w:t xml:space="preserve">**근거 (수치·출처)**</w:t>
      </w:r>
    </w:p>
    <w:p>
      <w:pPr>
        <w:pStyle w:val="ListParagraph"/>
        <w:numPr>
          <w:ilvl w:val="0"/>
          <w:numId w:val="1"/>
        </w:numPr>
        <w:jc w:val="both"/>
      </w:pPr>
      <w:r>
        <w:t xml:space="preserve">20260618 「풍문또는보도에대한해명(미확정)」 공시 직전 주가 변동 </w:t>
      </w:r>
      <w:r>
        <w:rPr>
          <w:b/>
        </w:rPr>
        <w:t xml:space="preserve">+8.7%</w:t>
      </w:r>
      <w:r>
        <w:t xml:space="preserve">, 거래량 비율 0.74 — </w:t>
      </w:r>
      <w:r>
        <w:rPr>
          <w:b/>
        </w:rPr>
        <w:t xml:space="preserve">이상 변동 판정</w:t>
      </w:r>
    </w:p>
    <w:p>
      <w:pPr>
        <w:pStyle w:val="ListParagraph"/>
        <w:numPr>
          <w:ilvl w:val="0"/>
          <w:numId w:val="1"/>
        </w:numPr>
        <w:jc w:val="both"/>
      </w:pPr>
      <w:r>
        <w:t xml:space="preserve">20260519 동일 유형 해명 공시는 직전 변동 -2.0%, 거래량 비율 1.39로 이상 변동 아님</w:t>
      </w:r>
    </w:p>
    <w:p>
      <w:pPr>
        <w:pStyle w:val="ListParagraph"/>
        <w:numPr>
          <w:ilvl w:val="0"/>
          <w:numId w:val="1"/>
        </w:numPr>
        <w:jc w:val="both"/>
      </w:pPr>
      <w:r>
        <w:t xml:space="preserve">출처: DART 공시목록 × KRX 일별 시세 교차 대조</w:t>
      </w:r>
    </w:p>
    <w:p>
      <w:pPr>
        <w:jc w:val="both"/>
      </w:pPr>
      <w:r>
        <w:rPr>
          <w:b/>
        </w:rPr>
        <w:t xml:space="preserve">왜 문제인가 (인과 사슬)</w:t>
      </w:r>
      <w:r>
        <w:t xml:space="preserve">: 회사가 해명해야 할 만큼 중대한 보도가 나오기 전에 주가가 먼저 뛰었다면, 정보가 공시 체계 바깥 경로로 흘렀거나 특정 시장 참여자가 먼저 알았을 개연성이 생깁니다. 이는 단순 IR 이슈가 아니라 (1) 내부자거래·불공정거래 규제 조사로 번질 수 있는 컴플라이언스 노출이고, (2) 반복되면 공시 신뢰도가 훼손되어 리스크 1(시장 괴리)을 증폭시키는 구조입니다. 문제가 커진 뒤에는 "회사가 몰랐다"는 사실 자체가 내부통제 결함으로 평가됩니다.</w:t>
      </w:r>
    </w:p>
    <w:p>
      <w:pPr>
        <w:jc w:val="both"/>
      </w:pPr>
      <w:r>
        <w:rPr>
          <w:b/>
          <w:color w:val="1B2A4A"/>
        </w:rPr>
        <w:t xml:space="preserve">확신도. </w:t>
      </w:r>
      <w:r>
        <w:rPr>
          <w:b/>
          <w:color w:val="B45309"/>
        </w:rPr>
        <w:t xml:space="preserve">가설</w:t>
      </w:r>
      <w:r>
        <w:t xml:space="preserve"> (공시 전 이상 변동은 계산된 사실이나, 정보 유출 여부·경로는 미확인)</w:t>
      </w:r>
    </w:p>
    <w:p>
      <w:pPr>
        <w:jc w:val="both"/>
      </w:pPr>
      <w:r>
        <w:rPr>
          <w:b/>
          <w:color w:val="1B2A4A"/>
        </w:rPr>
        <w:t xml:space="preserve">판별 테스트. </w:t>
      </w:r>
    </w:p>
    <w:p>
      <w:pPr>
        <w:jc w:val="both"/>
      </w:pPr>
      <w:r>
        <w:t xml:space="preserve">1. 20260618 해명 대상 보도의 최초 유통 경로와 시점 추적 — 내부 정보 접점(임직원·자문사·거래상대방) 목록과 대조</w:t>
      </w:r>
    </w:p>
    <w:p>
      <w:pPr>
        <w:jc w:val="both"/>
      </w:pPr>
      <w:r>
        <w:t xml:space="preserve">2. 이상 변동 구간의 대량 매매 주체 확인 — 필요 시 한국거래소 시장감시위원회 조회 요청</w:t>
      </w:r>
    </w:p>
    <w:p>
      <w:pPr>
        <w:jc w:val="both"/>
      </w:pPr>
      <w:r>
        <w:t xml:space="preserve">3. 중요 정보 관리 규정과 공시 승인 체인에서 해당 건이 어느 단계에 며칠 머물렀는지 감사</w:t>
      </w:r>
    </w:p>
    <w:p>
      <w:pPr>
        <w:jc w:val="both"/>
      </w:pPr>
      <w:r>
        <w:rPr>
          <w:b/>
          <w:color w:val="1B2A4A"/>
        </w:rPr>
        <w:t xml:space="preserve">권고 조치. </w:t>
      </w:r>
      <w:r>
        <w:t xml:space="preserve">준법지원인 주관으로 해당 건의 정보 흐름 타임라인을 재구성하게 하시고, 결과에 따라 자율 신고 여부를 법무 검토와 함께 판단하십시오. 선제 조치 기록 자체가 방어 자산이 됩니다.</w:t>
      </w:r>
    </w:p>
    <w:p>
      <w:pPr>
        <w:pStyle w:val="Heading1"/>
      </w:pPr>
      <w:r>
        <w:rPr>
          <w:b/>
          <w:color w:val="1B2A4A"/>
        </w:rPr>
        <w:t xml:space="preserve">리스크 3 — 공시 정정·해명 반복: 공시 품질·커뮤니케이션 패턴 (E5)</w:t>
      </w:r>
    </w:p>
    <w:p>
      <w:pPr>
        <w:jc w:val="both"/>
      </w:pPr>
      <w:r>
        <w:rPr>
          <w:b/>
          <w:color w:val="1B2A4A"/>
        </w:rPr>
        <w:t xml:space="preserve">결론. </w:t>
      </w:r>
      <w:r>
        <w:t xml:space="preserve">최근 90일간 공시 43건 중 정정공시 3건, 풍문·보도 해명 공시 2건이 발생했습니다. 개별 건은 통상 범위일 수 있으나, 리스크 1·2와 겹쳐 보면 시장과의 커뮤니케이션이 수세적으로 반복되는 패턴입니다.</w:t>
      </w:r>
    </w:p>
    <w:p>
      <w:pPr>
        <w:spacing w:before="240" w:after="80"/>
      </w:pPr>
      <w:r>
        <w:rPr>
          <w:b/>
          <w:color w:val="1B2A4A"/>
          <w:sz w:val="22"/>
          <w:szCs w:val="22"/>
        </w:rPr>
        <w:t xml:space="preserve">**근거 (수치·출처)**</w:t>
      </w:r>
    </w:p>
    <w:p>
      <w:pPr>
        <w:pStyle w:val="ListParagraph"/>
        <w:numPr>
          <w:ilvl w:val="0"/>
          <w:numId w:val="1"/>
        </w:numPr>
        <w:jc w:val="both"/>
      </w:pPr>
      <w:r>
        <w:t xml:space="preserve">90일 창 총 공시 </w:t>
      </w:r>
      <w:r>
        <w:rPr>
          <w:b/>
        </w:rPr>
        <w:t xml:space="preserve">43건</w:t>
      </w:r>
      <w:r>
        <w:t xml:space="preserve">, 그중 </w:t>
      </w:r>
      <w:r>
        <w:rPr>
          <w:b/>
        </w:rPr>
        <w:t xml:space="preserve">정정 3건</w:t>
      </w:r>
      <w:r>
        <w:t xml:space="preserve"> (임계 3건 이상 충족)</w:t>
      </w:r>
    </w:p>
    <w:p>
      <w:pPr>
        <w:pStyle w:val="ListParagraph"/>
        <w:numPr>
          <w:ilvl w:val="0"/>
          <w:numId w:val="1"/>
        </w:numPr>
        <w:jc w:val="both"/>
      </w:pPr>
      <w:r>
        <w:t xml:space="preserve">해명 공시 2건: 「풍문또는보도에대한해명(미확정)」 @20260618, @20260519 (임계 1건 이상 충족)</w:t>
      </w:r>
    </w:p>
    <w:p>
      <w:pPr>
        <w:pStyle w:val="ListParagraph"/>
        <w:numPr>
          <w:ilvl w:val="0"/>
          <w:numId w:val="1"/>
        </w:numPr>
        <w:jc w:val="both"/>
      </w:pPr>
      <w:r>
        <w:t xml:space="preserve">감사 관련 특이 플래그는 없음. 출처: DART 공시목록</w:t>
      </w:r>
    </w:p>
    <w:p>
      <w:pPr>
        <w:jc w:val="both"/>
      </w:pPr>
      <w:r>
        <w:rPr>
          <w:b/>
        </w:rPr>
        <w:t xml:space="preserve">왜 문제인가 (인과 사슬)</w:t>
      </w:r>
      <w:r>
        <w:t xml:space="preserve">: 정정은 최초 공시의 검수가 뚫렸다는 뜻이고, 해명은 회사 밖 정보가 회사 서사를 앞질렀다는 뜻입니다. 두 유형이 한 분기 창에 겹치면 시장은 "이 회사의 첫 공시는 최종본이 아니다"라고 학습하며, 이는 공시 프리미엄 할인 → 변동성 확대 → 리스크 2와 같은 선행 매매 유인 확대로 이어지는 자기강화 고리를 만듭니다.</w:t>
      </w:r>
    </w:p>
    <w:p>
      <w:pPr>
        <w:jc w:val="both"/>
      </w:pPr>
      <w:r>
        <w:rPr>
          <w:b/>
          <w:color w:val="1B2A4A"/>
        </w:rPr>
        <w:t xml:space="preserve">확신도. </w:t>
      </w:r>
      <w:r>
        <w:rPr>
          <w:b/>
          <w:color w:val="1F7A33"/>
        </w:rPr>
        <w:t xml:space="preserve">확인됨</w:t>
      </w:r>
      <w:r>
        <w:t xml:space="preserve"> (정정·해명 발생 건수는 공시 원문으로 확정된 사실 — 단, "품질 저하"라는 해석은 정정 사유 확인 전까지 가설)</w:t>
      </w:r>
    </w:p>
    <w:p>
      <w:pPr>
        <w:jc w:val="both"/>
      </w:pPr>
      <w:r>
        <w:rPr>
          <w:b/>
          <w:color w:val="1B2A4A"/>
        </w:rPr>
        <w:t xml:space="preserve">판별 테스트. </w:t>
      </w:r>
    </w:p>
    <w:p>
      <w:pPr>
        <w:jc w:val="both"/>
      </w:pPr>
      <w:r>
        <w:t xml:space="preserve">1. 정정 3건의 사유 분류 — 단순 오기인지, 수치·조건 변경인지 (후자면 검수 체인 문제)</w:t>
      </w:r>
    </w:p>
    <w:p>
      <w:pPr>
        <w:jc w:val="both"/>
      </w:pPr>
      <w:r>
        <w:t xml:space="preserve">2. 해명 공시 2건의 대상 보도가 이후 확정 공시로 이어졌는지 추적 (해명이 사실상 예고였는지 판별)</w:t>
      </w:r>
    </w:p>
    <w:p>
      <w:pPr>
        <w:jc w:val="both"/>
      </w:pPr>
      <w:r>
        <w:t xml:space="preserve">3. 공시 작성→검토→제출 체인의 관문별 책임자와 소요 시간 점검</w:t>
      </w:r>
    </w:p>
    <w:p>
      <w:pPr>
        <w:jc w:val="both"/>
      </w:pPr>
      <w:r>
        <w:rPr>
          <w:b/>
          <w:color w:val="1B2A4A"/>
        </w:rPr>
        <w:t xml:space="preserve">권고 조치. </w:t>
      </w:r>
      <w:r>
        <w:t xml:space="preserve">공시 담당 임원에게 90일 정정·해명 5건의 원인 보고서를 받으시고, 수치 변경성 정정이 1건이라도 있으면 공시 검수 체인을 재설계 대상으로 지정하십시오.</w:t>
      </w:r>
    </w:p>
    <w:p>
      <w:pPr>
        <w:pStyle w:val="Heading1"/>
      </w:pPr>
      <w:r>
        <w:rPr>
          <w:b/>
          <w:color w:val="1B2A4A"/>
        </w:rPr>
        <w:t xml:space="preserve">미발화 신호와 보조 신호</w:t>
      </w:r>
    </w:p>
    <w:p>
      <w:pPr>
        <w:jc w:val="both"/>
      </w:pPr>
      <w:r>
        <w:rPr>
          <w:b/>
        </w:rPr>
        <w:t xml:space="preserve">재무 축(E1~E4)</w:t>
      </w:r>
      <w:r>
        <w:t xml:space="preserve">: 수익-채권 괴리, 재고 적체, 차입·이자 부담, 유동성 하락 신호는 모두 </w:t>
      </w:r>
      <w:r>
        <w:rPr>
          <w:b/>
        </w:rPr>
        <w:t xml:space="preserve">임계값 미달로 미발화</w:t>
      </w:r>
      <w:r>
        <w:t xml:space="preserve">했습니다. 채권 회수·재고·차입 구조·단기 지급능력 측면에서 기계적 경고는 없었으며, 이번 브리핑의 리스크는 재무 건전성보다 </w:t>
      </w:r>
      <w:r>
        <w:rPr>
          <w:b/>
        </w:rPr>
        <w:t xml:space="preserve">시장·정보 관리 축</w:t>
      </w:r>
      <w:r>
        <w:t xml:space="preserve">에 집중돼 있습니다.</w:t>
      </w:r>
    </w:p>
    <w:p>
      <w:pPr>
        <w:jc w:val="both"/>
      </w:pPr>
      <w:r>
        <w:rPr>
          <w:b/>
        </w:rPr>
        <w:t xml:space="preserve">뉴스 보조 신호</w:t>
      </w:r>
      <w:r>
        <w:t xml:space="preserve">: 최근 뉴스 메타데이터 79건에서 기업평판/브랜드(28건), 규제/소송/보안(25건), 산업 환경(27건) 테마가 상대적으로 두드러졌습니다. 특히 규제 테마(플랫폼 규제, 허위정보 책임 강화, 기업결합 심사 보류 보도)는 리스크 1의 "장부 밖 요인" 후보와 방향이 일치하므로, 판별 테스트 1-1(뉴스·공시 대조) 수행 시 우선 대조 대상으로 권합니다. 뉴스는 제목·요약 메타데이터만 사용한 보조 신호이며 확정 사실로 취급하지 않습니다.</w:t>
      </w:r>
    </w:p>
    <w:p>
      <w:pPr>
        <w:pStyle w:val="Heading1"/>
      </w:pPr>
      <w:r>
        <w:rPr>
          <w:b/>
          <w:color w:val="1B2A4A"/>
        </w:rPr>
        <w:t xml:space="preserve">확인 범위와 한계</w:t>
      </w:r>
    </w:p>
    <w:p>
      <w:pPr>
        <w:pStyle w:val="ListParagraph"/>
        <w:numPr>
          <w:ilvl w:val="0"/>
          <w:numId w:val="1"/>
        </w:numPr>
        <w:jc w:val="both"/>
      </w:pPr>
      <w:r>
        <w:t xml:space="preserve">본 브리핑은 DART 공시·연결재무제표, KRX 시세, ECOS 거시지표, 네이버 뉴스 메타데이터에서 </w:t>
      </w:r>
      <w:r>
        <w:rPr>
          <w:b/>
        </w:rPr>
        <w:t xml:space="preserve">결정론적으로 파생된 신호만을 근거</w:t>
      </w:r>
      <w:r>
        <w:t xml:space="preserve">로 작성됐습니다. 내부 회계 데이터(거래처·원가·계정 상세)는 제공되지 않아 내부 축 진단은 수행되지 않았습니다.</w:t>
      </w:r>
    </w:p>
    <w:p>
      <w:pPr>
        <w:pStyle w:val="ListParagraph"/>
        <w:numPr>
          <w:ilvl w:val="0"/>
          <w:numId w:val="1"/>
        </w:numPr>
        <w:jc w:val="both"/>
      </w:pPr>
      <w:r>
        <w:t xml:space="preserve">발화 신호는 "점검이 필요한 패턴"이지 위법·부정의 증거가 아닙니다. 특히 리스크 2의 정보 유출 가능성은 판별 테스트 수행 전까지 가설로 유지되어야 하며, 조사 결과 정상적 시장 반응으로 판명될 수 있습니다.</w:t>
      </w:r>
    </w:p>
    <w:p>
      <w:pPr>
        <w:pStyle w:val="ListParagraph"/>
        <w:numPr>
          <w:ilvl w:val="0"/>
          <w:numId w:val="1"/>
        </w:numPr>
        <w:jc w:val="both"/>
      </w:pPr>
      <w:r>
        <w:t xml:space="preserve">시세 기반 신호(E6·E7)는 100영업일·90일 창 기준이며, 창 밖의 사건이나 브리핑 시점 이후의 시장 변화는 반영되지 않았습니다.</w:t>
      </w:r>
    </w:p>
    <w:p>
      <w:pPr>
        <w:pStyle w:val="ListParagraph"/>
        <w:numPr>
          <w:ilvl w:val="0"/>
          <w:numId w:val="1"/>
        </w:numPr>
        <w:jc w:val="both"/>
      </w:pPr>
      <w:r>
        <w:t xml:space="preserve">뉴스 신호는 검색 메타데이터 집계로, 기사 본문 검증을 거치지 않았습니다. 개별 기사의 사실 여부는 별도 확인이 필요합니다.</w:t>
      </w:r>
    </w:p>
    <w:sectPr>
      <w:headerReference w:type="default" r:id="rIdHeader"/>
      <w:footerReference w:type="default" r:id="rIdFooter"/>
      <w:pgSz w:w="11906" w:h="16838"/>
      <w:pgMar w:top="1418" w:right="1418" w:bottom="1418" w:left="1418" w:header="709" w:footer="709" w:gutter="0"/>
      <w:titlePg/>
    </w:sectPr>
  </w:body>
</w:document>
</file>

<file path=word/footer1.xml><?xml version="1.0" encoding="utf-8"?>
<w:ftr xmlns:w="http://schemas.openxmlformats.org/wordprocessingml/2006/main">
  <w:p>
    <w:pPr>
      <w:pBdr>
        <w:top w:val="single" w:sz="4" w:space="4" w:color="D9D9D9"/>
      </w:pBdr>
      <w:tabs>
        <w:tab w:val="right" w:pos="9070"/>
      </w:tabs>
      <w:spacing w:after="0"/>
    </w:pPr>
    <w:r>
      <w:rPr>
        <w:color w:val="A6A6A6"/>
        <w:sz w:val="16"/>
      </w:rPr>
      <w:t xml:space="preserve">Management risk briefing | Not investment advice</w:t>
    </w:r>
    <w:r>
      <w:rPr>
        <w:color w:val="A6A6A6"/>
        <w:sz w:val="16"/>
      </w:rPr>
      <w:tab/>
    </w:r>
    <w:r>
      <w:fldChar w:fldCharType="begin"/>
    </w:r>
    <w:r>
      <w:rPr>
        <w:color w:val="A6A6A6"/>
        <w:sz w:val="16"/>
      </w:rPr>
      <w:instrText xml:space="preserve"> PAGE </w:instrText>
    </w:r>
    <w:r>
      <w:fldChar w:fldCharType="end"/>
    </w:r>
  </w:p>
</w:ftr>
</file>

<file path=word/header1.xml><?xml version="1.0" encoding="utf-8"?>
<w:hdr xmlns:w="http://schemas.openxmlformats.org/wordprocessingml/2006/main">
  <w:p>
    <w:pPr>
      <w:pBdr>
        <w:bottom w:val="single" w:sz="4" w:space="4" w:color="D9D9D9"/>
      </w:pBdr>
      <w:tabs>
        <w:tab w:val="right" w:pos="9070"/>
      </w:tabs>
      <w:spacing w:after="0"/>
    </w:pPr>
    <w:r>
      <w:rPr>
        <w:color w:val="A6A6A6"/>
        <w:sz w:val="16"/>
      </w:rPr>
      <w:t xml:space="preserve">CEO Risk Briefing</w:t>
    </w:r>
    <w:r>
      <w:rPr>
        <w:color w:val="A6A6A6"/>
        <w:sz w:val="16"/>
      </w:rPr>
      <w:tab/>
    </w:r>
    <w:r>
      <w:rPr>
        <w:b/>
        <w:color w:val="D04A02"/>
        <w:sz w:val="16"/>
      </w:rPr>
      <w:t>Confidential</w:t>
    </w:r>
  </w:p>
</w:hdr>
</file>

<file path=word/numbering.xml><?xml version="1.0" encoding="utf-8"?>
<w:numbering xmlns:w="http://schemas.openxmlformats.org/wordprocessingml/2006/main">
  <w:abstractNum w:abstractNumId="0">
    <w:lvl w:ilvl="0">
      <w:numFmt w:val="bullet"/>
      <w:lvlText w:val="•"/>
      <w:pPr>
        <w:ind w:left="425" w:hanging="212"/>
      </w:pPr>
      <w:rPr>
        <w:color w:val="D04A02"/>
      </w:rPr>
    </w:lvl>
    <w:lvl w:ilvl="1">
      <w:numFmt w:val="bullet"/>
      <w:lvlText w:val="–"/>
      <w:pPr>
        <w:ind w:left="850" w:hanging="212"/>
      </w:pPr>
      <w:rPr>
        <w:color w:val="595959"/>
      </w:rPr>
    </w:lvl>
  </w:abstractNum>
  <w:num w:numId="1">
    <w:abstractNumId w:val="0"/>
  </w:num>
</w:numbering>
</file>

<file path=word/styles.xml><?xml version="1.0" encoding="utf-8"?>
<w:styles xmlns:w="http://schemas.openxmlformats.org/wordprocessingml/2006/main">
  <w:docDefaults>
    <w:rPrDefault>
      <w:rPr>
        <w:rFonts w:ascii="Malgun Gothic" w:eastAsia="Malgun Gothic" w:hAnsi="Malgun Gothic" w:cs="Malgun Gothic"/>
        <w:sz w:val="21"/>
        <w:szCs w:val="21"/>
        <w:lang w:val="ko-KR" w:eastAsia="ko-KR"/>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400" w:after="160"/>
      <w:pBdr>
        <w:bottom w:val="single" w:sz="8" w:space="4" w:color="D04A02"/>
      </w:pBdr>
      <w:outlineLvl w:val="0"/>
    </w:pPr>
    <w:rPr>
      <w:b/>
      <w:color w:val="1B2A4A"/>
      <w:sz w:val="27"/>
      <w:szCs w:val="27"/>
    </w:rPr>
  </w:style>
  <w:style w:type="paragraph" w:styleId="Heading2">
    <w:name w:val="heading 2"/>
    <w:basedOn w:val="Normal"/>
    <w:pPr>
      <w:keepNext/>
      <w:spacing w:before="280" w:after="120"/>
      <w:outlineLvl w:val="1"/>
    </w:pPr>
    <w:rPr>
      <w:b/>
      <w:color w:val="1B2A4A"/>
      <w:sz w:val="23"/>
      <w:szCs w:val="23"/>
    </w:rPr>
  </w:style>
  <w:style w:type="paragraph" w:styleId="ListParagraph">
    <w:name w:val="List Paragraph"/>
    <w:basedOn w:val="Normal"/>
    <w:pPr>
      <w:spacing w:after="80"/>
      <w:ind w:left="425"/>
    </w:pPr>
  </w:style>
  <w:style w:type="character" w:styleId="Hyperlink">
    <w:name w:val="Hyperlink"/>
    <w:rPr>
      <w:color w:val="1155CC"/>
      <w:u w:val="single"/>
    </w:rPr>
  </w:style>
  <w:style w:type="table" w:styleId="TableGrid">
    <w:name w:val="Table Grid"/>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Header" Type="http://schemas.openxmlformats.org/officeDocument/2006/relationships/header" Target="header1.xml"/>
<Relationship Id="rIdFooter" Type="http://schemas.openxmlformats.org/officeDocument/2006/relationships/footer" Target="footer1.xml"/>
<Relationship Id="rIdSnapshot" Type="http://schemas.openxmlformats.org/officeDocument/2006/relationships/image" Target="media/executive-summary.png"/>

</Relationships>
</file>

<file path=docProps/app.xml><?xml version="1.0" encoding="utf-8"?>
<Properties xmlns="http://schemas.openxmlformats.org/officeDocument/2006/extended-properties">
  <Application>trusted-ceo-agent</Application>
</Properties>
</file>

<file path=docProps/core.xml><?xml version="1.0" encoding="utf-8"?>
<cp:coreProperties xmlns:cp="http://schemas.openxmlformats.org/package/2006/metadata/core-properties" xmlns:dc="http://purl.org/dc/elements/1.1/" xmlns:dcterms="http://purl.org/dc/terms/" xmlns:xsi="http://www.w3.org/2001/XMLSchema-instance">
  <dc:title>네이버(주) CEO 서명용 리스크 브리핑</dc:title>
  <dc:creator>Trusted CEO Agent</dc:creator>
  <cp:lastModifiedBy>Trusted CEO Agent</cp:lastModifiedBy>
  <dcterms:created xsi:type="dcterms:W3CDTF">2026-07-10T00:00:00Z</dcterms:created>
  <dcterms:modified xsi:type="dcterms:W3CDTF">2026-07-10T00:00:00Z</dcterms:modified>
</cp:coreProperties>
</file>