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삼성전자(주) CEO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삼성전자(주) (종목코드 005930, 사업자등록번호 124-81-00998, 대표이사 전영현·노태문)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 연도/연결구분</w:t>
      </w:r>
      <w:r>
        <w:t xml:space="preserve">: 2025년 / CFS(연결)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관측 창</w:t>
      </w:r>
      <w:r>
        <w:t xml:space="preserve">: 최근 90일 (공시 63건)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관측 기간 내 변동 없음)</w:t>
      </w:r>
    </w:p>
    <w:p>
      <w:pPr>
        <w:pStyle w:val="Heading1"/>
      </w:pPr>
      <w:r>
        <w:rPr>
          <w:b/>
          <w:color w:val="1B2A4A"/>
        </w:rPr>
        <w:t xml:space="preserve">리스크 1. 공시 행간 — 정정·해명 공시 반복 패턴 (E5)</w:t>
      </w:r>
    </w:p>
    <w:p>
      <w:pPr>
        <w:jc w:val="both"/>
      </w:pPr>
      <w:r>
        <w:rPr>
          <w:b/>
        </w:rPr>
        <w:t xml:space="preserve">결론.</w:t>
      </w:r>
      <w:r>
        <w:t xml:space="preserve"> 최근 90일 공시 흐름에서 정정 공시가 반복되고 풍문 대응성 해명 공시가 발생하여, 공시 품질·정보 관리 프로세스에 대한 점검 신호가 발화했습니다.</w:t>
      </w:r>
    </w:p>
    <w:p>
      <w:pPr>
        <w:jc w:val="both"/>
      </w:pPr>
      <w:r>
        <w:rPr>
          <w:b/>
        </w:rPr>
        <w:t xml:space="preserve">근거 (수치·출처: DART 공시 목록, 90일 창).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총 공시 63건 중 </w:t>
      </w:r>
      <w:r>
        <w:rPr>
          <w:b/>
        </w:rPr>
        <w:t xml:space="preserve">정정 공시 5건</w:t>
      </w:r>
      <w:r>
        <w:t xml:space="preserve"> (임계값 3건 이상 충족)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해명 공시 1건</w:t>
      </w:r>
      <w:r>
        <w:t xml:space="preserve">: 「풍문또는보도에대한해명(미확정)」 2026-06-24 접수 (임계값 1건 이상 충족)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특이 플래그는 관측되지 않음</w:t>
      </w:r>
    </w:p>
    <w:p>
      <w:pPr>
        <w:jc w:val="both"/>
      </w:pPr>
      <w:r>
        <w:rPr>
          <w:b/>
        </w:rPr>
        <w:t xml:space="preserve">왜 문제인가 (인과 사슬).</w:t>
      </w:r>
      <w:r>
        <w:t xml:space="preserve"> 정정 공시가 짧은 기간에 반복된다는 것은 공시 원문이 확정되기 전 검수 체인 어딘가에서 숫자 또는 서술이 걸러지지 않고 있다는 뜻이고, 여기에 시장 풍문에 대한 해명까지 겹치면 "회사가 말하기 전에 시장이 먼저 움직이는" 구조가 됩니다. 이 상태가 지속되면 투자자와 감독당국이 공시 자체의 신뢰도를 할인하기 시작하고, 정작 중요한 공시를 내야 할 때 전달력이 약해지며, 반복 정정은 그 자체로 감독 관심 대상이 될 수 있습니다.</w:t>
      </w:r>
    </w:p>
    <w:p>
      <w:pPr>
        <w:jc w:val="both"/>
      </w:pPr>
      <w:r>
        <w:rPr>
          <w:b/>
        </w:rPr>
        <w:t xml:space="preserve">확신도.</w:t>
      </w:r>
      <w:r>
        <w:t xml:space="preserve"> 확인됨 — 정정·해명 건수는 공시 목록에서 결정론적으로 집계된 사실입니다. 다만 그 원인이 검수 체계 결함인지 단순 오기 누적인지는 아래 판별 테스트로 갈라야 합니다.</w:t>
      </w:r>
    </w:p>
    <w:p>
      <w:pPr>
        <w:jc w:val="both"/>
      </w:pPr>
      <w:r>
        <w:rPr>
          <w:b/>
        </w:rPr>
        <w:t xml:space="preserve">판별 테스트.</w:t>
      </w:r>
    </w:p>
    <w:p>
      <w:pPr>
        <w:jc w:val="both"/>
      </w:pPr>
      <w:r>
        <w:t xml:space="preserve">1. 정정 5건의 사유를 분류합니다 — 단순 오기·형식 정정이면 프로세스 이슈, 수치 변경이 포함되면 결산·집계 체계 이슈로 무게가 이동합니다.</w:t>
      </w:r>
    </w:p>
    <w:p>
      <w:pPr>
        <w:jc w:val="both"/>
      </w:pPr>
      <w:r>
        <w:t xml:space="preserve">2. 2026-06-24 해명 공시의 대상 보도를 특정하고, 후속 확정 공시가 예정대로 나왔는지 추적합니다.</w:t>
      </w:r>
    </w:p>
    <w:p>
      <w:pPr>
        <w:jc w:val="both"/>
      </w:pPr>
      <w:r>
        <w:t xml:space="preserve">3. 공시 검수 체인(작성→검토→승인)의 실제 통과 기록을 표본 점검합니다.</w:t>
      </w:r>
    </w:p>
    <w:p>
      <w:pPr>
        <w:jc w:val="both"/>
      </w:pPr>
      <w:r>
        <w:rPr>
          <w:b/>
        </w:rPr>
        <w:t xml:space="preserve">권고 조치.</w:t>
      </w:r>
      <w:r>
        <w:t xml:space="preserve"> 공시 책임 임원에게 90일 내 정정 5건의 사유 분류표와 재발 방지안을 보고받으시고, 해명 공시(미확정) 건은 확정 시점까지 IR·법무 공동 모니터링 항목으로 지정하시기 바랍니다.</w:t>
      </w:r>
    </w:p>
    <w:p>
      <w:pPr>
        <w:pStyle w:val="Heading1"/>
      </w:pPr>
      <w:r>
        <w:rPr>
          <w:b/>
          <w:color w:val="1B2A4A"/>
        </w:rPr>
        <w:t xml:space="preserve">리스크 2. 공시·주가 정합 — 해명 공시 전 주가 이상 변동 (E7)</w:t>
      </w:r>
    </w:p>
    <w:p>
      <w:pPr>
        <w:jc w:val="both"/>
      </w:pPr>
      <w:r>
        <w:rPr>
          <w:b/>
        </w:rPr>
        <w:t xml:space="preserve">결론.</w:t>
      </w:r>
      <w:r>
        <w:t xml:space="preserve"> 2026-06-24 해명 공시에 선행하여 주가가 이상 변동한 사례가 1건 관측되어, 중요 정보의 사전 유통(정보 관리) 가능성을 점검할 신호가 발화했습니다.</w:t>
      </w:r>
    </w:p>
    <w:p>
      <w:pPr>
        <w:jc w:val="both"/>
      </w:pPr>
      <w:r>
        <w:rPr>
          <w:b/>
        </w:rPr>
        <w:t xml:space="preserve">근거 (수치·출처: DART 공시 + KRX 시세, 90일 창 · 거래일 100일).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 공시 1건 중 이상 변동 동반 1건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「풍문또는보도에대한해명(미확정)」(2026-06-24) 공시 </w:t>
      </w:r>
      <w:r>
        <w:rPr>
          <w:b/>
        </w:rPr>
        <w:t xml:space="preserve">직전 주가 변동 -10.5%</w:t>
      </w:r>
      <w:r>
        <w:t xml:space="preserve">, 거래량 비율 1.01배 — 이상 변동 판정</w:t>
      </w:r>
    </w:p>
    <w:p>
      <w:pPr>
        <w:jc w:val="both"/>
      </w:pPr>
      <w:r>
        <w:rPr>
          <w:b/>
        </w:rPr>
        <w:t xml:space="preserve">왜 문제인가 (인과 사슬).</w:t>
      </w:r>
      <w:r>
        <w:t xml:space="preserve"> 회사가 해명 공시로 대응해야 했던 풍문·보도가 있었고 그 공시가 나오기 전에 이미 주가가 큰 폭으로 먼저 움직였다면, 시장의 일부가 회사보다 먼저 해당 정보를 접했을 가능성을 배제할 수 없습니다. 이 경로가 실제로 존재한다면 문제는 주가 하락 자체가 아니라 내부 정보 접점 관리의 구멍이며, 방치될 경우 불공정거래 조사·시장 신뢰 훼손으로 번질 수 있는 성격의 리스크입니다. 거래량 급증(1.01배)이 동반되지 않았다는 점은 대량 선행 매매보다는 보도 확산에 의한 가격 반응일 가능성도 남겨둡니다.</w:t>
      </w:r>
    </w:p>
    <w:p>
      <w:pPr>
        <w:jc w:val="both"/>
      </w:pPr>
      <w:r>
        <w:rPr>
          <w:b/>
        </w:rPr>
        <w:t xml:space="preserve">확신도.</w:t>
      </w:r>
      <w:r>
        <w:t xml:space="preserve"> 가설 — 공시 전 -10.5% 변동이라는 패턴 자체는 데이터로 확인된 사실이나, "내부 정보가 선행 유통되었다"는 인과는 아직 검증되지 않은 가설입니다.</w:t>
      </w:r>
    </w:p>
    <w:p>
      <w:pPr>
        <w:jc w:val="both"/>
      </w:pPr>
      <w:r>
        <w:rPr>
          <w:b/>
        </w:rPr>
        <w:t xml:space="preserve">판별 테스트.</w:t>
      </w:r>
    </w:p>
    <w:p>
      <w:pPr>
        <w:jc w:val="both"/>
      </w:pPr>
      <w:r>
        <w:t xml:space="preserve">1. 해명 공시 대상 보도의 최초 유통 경로와 시각을 확인하여, 주가 하락 시점이 보도 이전인지 이후인지 가릅니다 — 보도 이후라면 정보 유출 가설은 약화됩니다.</w:t>
      </w:r>
    </w:p>
    <w:p>
      <w:pPr>
        <w:jc w:val="both"/>
      </w:pPr>
      <w:r>
        <w:t xml:space="preserve">2. 공시 전 이상 변동 구간의 대량 매매 주체를 확인하고, 필요 시 거래소 시장감시 조회를 요청합니다.</w:t>
      </w:r>
    </w:p>
    <w:p>
      <w:pPr>
        <w:jc w:val="both"/>
      </w:pPr>
      <w:r>
        <w:t xml:space="preserve">3. 해당 정보에 접근 가능했던 내부 접점(부서·외부 자문사) 목록을 대조합니다.</w:t>
      </w:r>
    </w:p>
    <w:p>
      <w:pPr>
        <w:jc w:val="both"/>
      </w:pPr>
      <w:r>
        <w:rPr>
          <w:b/>
        </w:rPr>
        <w:t xml:space="preserve">권고 조치.</w:t>
      </w:r>
      <w:r>
        <w:t xml:space="preserve"> 컴플라이언스 책임자에게 2026-06-24 건의 타임라인 재구성(보도 시각 대비 주가·거래 흐름)을 지시하시고, 결과에 따라 중요 정보 관리 규정과 공시 승인 체인의 접근 통제를 재점검하시기 바랍니다.</w:t>
      </w:r>
    </w:p>
    <w:p>
      <w:pPr>
        <w:pStyle w:val="Heading1"/>
      </w:pPr>
      <w:r>
        <w:rPr>
          <w:b/>
          <w:color w:val="1B2A4A"/>
        </w:rPr>
        <w:t xml:space="preserve">참고: 미발화 신호와 보조 신호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재무 축(E1 수익-채권 괴리, E2 재고 적체, E3 차입·이자 부담, E4 유동성 하락)과 시장 축(E6 시총-현금흐름 괴리)은 모두 임계값 미달로 미발화</w:t>
      </w:r>
      <w:r>
        <w:t xml:space="preserve">했습니다. 이번 브리핑에서 재무 구조 자체를 리스크로 승격할 근거는 발견되지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뉴스 메타데이터(보조 신호, 확정 사실 아님)</w:t>
      </w:r>
      <w:r>
        <w:t xml:space="preserve">: 최근 뉴스 78건에서 규제/소송/보안 29건, 산업/시장 환경 29건, 평판/브랜드 28건 등의 테마가 감지되었습니다. 특히 규제·소송 테마는 리스크 2(정보 관리)와 교차점이 있으므로, 공시 정정·해명 및 충당부채 항목과 교차 확인을 권합니다. 뉴스는 제목·요약 메타데이터만 사용한 신호로, 개별 사안의 사실 여부는 별도 확인이 필요합니다.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목록·연결 재무제표, 한국은행 ECOS 거시 지표, KRX 시세(거래일 100일), 네이버 뉴스 메타데이터에서 결정론적으로 파생된 신호만을 근거로 작성되었으며, 내부 회계 데이터(CSV)는 제공되지 않아 거래처 집중·원가 왜곡 등 내부 상세 축은 평가 범위에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두 신호는 모두 "점검이 필요한 패턴"이지 위법·부정의 판정이 아닙니다. 특히 리스크 2의 정보 유출 인과는 가설 단계이며, 제시된 판별 테스트를 통과하기 전까지 결론으로 취급해서는 안 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관측 창은 최근 90일로 한정되어 있어, 그 이전의 공시 패턴이나 진행 중이나 아직 공시되지 않은 사안은 반영되지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신호는 발행량 기반 보조 지표로서 방향성 참고용이며, 개별 기사의 사실관계 검증을 대체하지 않습니다.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삼성전자(주) CEO 리스크 브리핑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