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대상 CEO 리스크 브리핑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2026-07-10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작성 기준  </w:t>
      </w:r>
      <w:r>
        <w:rPr>
          <w:color w:val="595959"/>
          <w:sz w:val="20"/>
          <w:szCs w:val="20"/>
        </w:rPr>
        <w:t xml:space="preserve">2026-07-09 실행 결과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대상 법인  </w:t>
      </w:r>
      <w:r>
        <w:rPr>
          <w:color w:val="595959"/>
          <w:sz w:val="20"/>
          <w:szCs w:val="20"/>
        </w:rPr>
        <w:t xml:space="preserve">대상(주), 종목코드 001680, DART corp_code 00121941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식별 기준  </w:t>
      </w:r>
      <w:r>
        <w:rPr>
          <w:color w:val="595959"/>
          <w:sz w:val="20"/>
          <w:szCs w:val="20"/>
        </w:rPr>
        <w:t xml:space="preserve">사업자등록번호 109-81-14886, 국세청 상태조회 계속사업자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분석 데이터  </w:t>
      </w:r>
      <w:r>
        <w:rPr>
          <w:color w:val="595959"/>
          <w:sz w:val="20"/>
          <w:szCs w:val="20"/>
        </w:rPr>
        <w:t xml:space="preserve">DART 2025년 연결 사업보고서 재무제표, 최근 90일 공시, ECOS 기준금리, 네이버 뉴스 메타데이터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유동성 하락 (유동비율) - 단기 운전자본 여력 점검 필요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확인 필요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재무팀: 향후 13주 현금수지표와 단기부채 만기표를 CEO에게 별도 보고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Heading1"/>
      </w:pPr>
      <w:r>
        <w:rPr>
          <w:b/>
          <w:color w:val="1B2A4A"/>
        </w:rPr>
        <w:t xml:space="preserve">요약 결론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이번 실행에서 플러그인이 DART 재무/공시 기준으로 리스크로 판정한 PRESENT 신호는 1건입니다. 핵심은 단기 운전자본 여력 지표가 183.1% -&gt; 153.9% -&gt; 113.7%로 2년 연속 낮아졌다는 점입니다.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확인 필요</w:t>
      </w:r>
      <w:r>
        <w:t xml:space="preserve">. DART 재무제표의 방향성은 확인됐지만 내부 현금수지표와 월별 운전자본 자료로 원인 분해가 필요합니다.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rPr>
          <w:b/>
          <w:color w:val="1B2A4A"/>
        </w:rPr>
        <w:t xml:space="preserve">판별 테스트. </w:t>
      </w:r>
      <w:r>
        <w:t xml:space="preserve">13주 현금수지표, 단기부채 만기표, 월별 재고 회전일수, 매입채무 결제 조건에서 같은 방향의 압박이 확인되면 리스크 확신도를 높입니다.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뉴스 메타데이터 기반 보조 신호에서는 청정원 신제품/캠페인, 간편식 시장 경쟁, 과징금 및 IP·바이오 투자 관련 기사 테마가 감지되었습니다. 뉴스는 확정 사실이 아니라 제목·요약·발행일·링크 기반 보조 신호이므로, 결론은 유동성 하락 리스크를 우선 관리하면서 뉴스 테마를 운영/재무 데이터로 교차 확인하는 것입니다.</w:t>
      </w:r>
    </w:p>
    <w:p>
      <w:pPr>
        <w:pBdr>
          <w:left w:val="single" w:sz="24" w:space="8" w:color="D04A02"/>
        </w:pBdr>
        <w:shd w:val="clear" w:color="auto" w:fill="FBF4EE"/>
        <w:spacing w:before="60" w:after="120" w:line="276" w:lineRule="auto"/>
        <w:ind w:left="284" w:right="284"/>
        <w:jc w:val="both"/>
      </w:pPr>
      <w:r>
        <w:t xml:space="preserve">내부 표준 CSV 3종(trial_balance.csv, ar_aging.csv, cost_allocation.csv)이 제공되지 않아 거래처별 채권 집중, 원가 배부 왜곡, 내부 장부 불변식 검증은 수행하지 못했습니다.</w:t>
      </w:r>
    </w:p>
    <w:p>
      <w:pPr>
        <w:pStyle w:val="Heading1"/>
      </w:pPr>
      <w:r>
        <w:rPr>
          <w:b/>
          <w:color w:val="1B2A4A"/>
        </w:rPr>
        <w:t xml:space="preserve">1. 유동성 하락 (유동비율) - 단기 운전자본 여력 점검 필요</w:t>
      </w:r>
    </w:p>
    <w:p>
      <w:pPr>
        <w:jc w:val="both"/>
      </w:pPr>
      <w:r>
        <w:rPr>
          <w:b/>
          <w:color w:val="1B2A4A"/>
        </w:rPr>
        <w:t xml:space="preserve">결론. </w:t>
      </w:r>
      <w:r>
        <w:t xml:space="preserve">대상(주)의 유동비율은 DART 2025년 연결 재무제표 기준 183.1% -&gt; 153.9% -&gt; 113.7%로 2년 연속 하락했습니다. 아직 단일 수치만으로 유동성 위기라고 단정할 수는 없지만, 단기부채와 재고/채권 회수 속도를 함께 점검해야 합니다.</w:t>
      </w:r>
    </w:p>
    <w:p>
      <w:pPr>
        <w:jc w:val="both"/>
      </w:pPr>
      <w:r>
        <w:rPr>
          <w:b/>
          <w:color w:val="1B2A4A"/>
        </w:rPr>
        <w:t xml:space="preserve">근거.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DART 외부 신호 E4: PRESENT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유동비율: 183.1% -&gt; 153.9% -&gt; 113.7%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fallingTwoYears: true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총 차입성 항목: 1.1조 -&gt; 1.0조, 증가율 -5.4%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영업이익/이자지급 배율: 3.0배 -&gt; 3.0배 수준</w:t>
      </w:r>
    </w:p>
    <w:p>
      <w:pPr>
        <w:jc w:val="both"/>
      </w:pPr>
      <w:r>
        <w:rPr>
          <w:b/>
          <w:color w:val="1B2A4A"/>
        </w:rPr>
        <w:t xml:space="preserve">왜 문제인가. </w:t>
      </w:r>
      <w:r>
        <w:t xml:space="preserve">유동비율 하락은 단기 현금 여력, 재고 회전, 매입채무/단기차입 상환 스케줄의 압박이 커졌을 가능성을 보여주는 조기 신호입니다. 차입금 증가가 동반되지 않았기 때문에 신규 자금조달 문제보다는 운전자본 구성 변화, 재고/채권/매입채무 타이밍, 투자 및 비용 지출의 현금 소요를 우선 확인해야 합니다.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확인 필요</w:t>
      </w:r>
      <w:r>
        <w:t xml:space="preserve">. DART 재무제표 기반 비율 하락은 확인됐지만, 내부 현금 예측표와 월별 운전자본 데이터가 없어 원인 분해는 아직 제한적입니다.</w:t>
      </w:r>
    </w:p>
    <w:p>
      <w:pPr>
        <w:jc w:val="both"/>
      </w:pPr>
      <w:r>
        <w:rPr>
          <w:b/>
          <w:color w:val="1B2A4A"/>
        </w:rPr>
        <w:t xml:space="preserve">판별 테스트. </w:t>
      </w:r>
      <w:r>
        <w:t xml:space="preserve">13주 현금수지표, 단기부채 만기표, 월별 재고 회전일수, 매입채무 결제 조건을 대조했을 때 같은 방향의 압박이 확인되면 리스크 확신도를 높입니다.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재무팀: 향후 13주 현금수지표와 단기부채 만기표를 CEO에게 별도 보고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영업/SCM: 재고 회전일수, SKU별 장기재고, 채널별 할인율을 월별로 분해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구매/재무: 매입채무 결제 조건 변화와 원재료 가격 변동이 유동비율 하락에 준 영향을 확인</w:t>
      </w:r>
    </w:p>
    <w:p>
      <w:pPr>
        <w:jc w:val="both"/>
      </w:pPr>
      <w:r>
        <w:rPr>
          <w:b/>
          <w:color w:val="1B2A4A"/>
        </w:rPr>
        <w:t xml:space="preserve">추가 확인 절차.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2025년 사업보고서 주석에서 단기차입금, 매입채무, 기타유동부채의 증감 원인 확인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ar_aging.csv로 거래처별 회수 지연 여부 확인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cost_allocation.csv로 소재/식품 사업부별 원가 부담 전이 여부 확인</w:t>
      </w:r>
    </w:p>
    <w:p>
      <w:pPr>
        <w:pStyle w:val="Heading1"/>
      </w:pPr>
      <w:r>
        <w:rPr>
          <w:b/>
          <w:color w:val="1B2A4A"/>
        </w:rPr>
        <w:t xml:space="preserve">뉴스 기반 보조 신호와 CEO 확인 포인트</w:t>
      </w:r>
    </w:p>
    <w:p>
      <w:pPr>
        <w:jc w:val="both"/>
      </w:pPr>
      <w:r>
        <w:t xml:space="preserve">뉴스 검색어는 일반어 잡음을 줄이기 위해 `대상 청정원`을 사용했습니다. 뉴스는 기사 본문 전문이 아니라 네이버 뉴스 API가 제공한 제목, 요약, 발행일, 링크만 사용했습니다.</w:t>
      </w:r>
    </w:p>
    <w:p>
      <w:pPr>
        <w:spacing w:before="240" w:after="80"/>
      </w:pPr>
      <w:r>
        <w:rPr>
          <w:b/>
          <w:color w:val="1B2A4A"/>
          <w:sz w:val="22"/>
          <w:szCs w:val="22"/>
        </w:rPr>
        <w:t xml:space="preserve">기업평판/브랜드 이미지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감지: 17건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근거 예시. </w:t>
      </w:r>
      <w:r>
        <w:t xml:space="preserve">2026-07-09 `대상, 2341억 과징금에 IP·바이오 투자는?`, 2026-07-09 `대상 청정원, 프리미엄 '리치 크림카레' 출시`, 2026-07-09 청정원 여름 시즌 캠페인 기사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CEO 확인 포인트. </w:t>
      </w:r>
      <w:r>
        <w:t xml:space="preserve">과징금 관련 보도가 브랜드 신뢰와 거래처 협상에 미치는 영향을 별도 점검해야 합니다. 청정원 신제품/캠페인은 긍정 신호지만, 브랜드 캠페인이 실제 반복 구매와 채널별 매출총이익률로 이어졌는지 확인해야 합니다.</w:t>
      </w:r>
    </w:p>
    <w:p>
      <w:pPr>
        <w:spacing w:before="240" w:after="80"/>
      </w:pPr>
      <w:r>
        <w:rPr>
          <w:b/>
          <w:color w:val="1B2A4A"/>
          <w:sz w:val="22"/>
          <w:szCs w:val="22"/>
        </w:rPr>
        <w:t xml:space="preserve">관심산업/시장 환경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감지: 6건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근거 예시. </w:t>
      </w:r>
      <w:r>
        <w:t xml:space="preserve">2026-05-19 간편식 시장 경쟁 격화 기사, 2026-07-09 카레여왕 라인업 확대 기사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CEO 확인 포인트. </w:t>
      </w:r>
      <w:r>
        <w:t xml:space="preserve">간편식·소스·카레 카테고리 경쟁이 판매량 증가인지, 할인 경쟁과 판촉비 증가인지 구분해야 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연결 조언. </w:t>
      </w:r>
      <w:r>
        <w:t xml:space="preserve">식품 신제품은 폐기와 프로모션 비용이 늦게 드러날 수 있으므로 SKU별 회전일수와 판촉비를 같이 봐야 합니다.</w:t>
      </w:r>
    </w:p>
    <w:p>
      <w:pPr>
        <w:spacing w:before="240" w:after="80"/>
      </w:pPr>
      <w:r>
        <w:rPr>
          <w:b/>
          <w:color w:val="1B2A4A"/>
          <w:sz w:val="22"/>
          <w:szCs w:val="22"/>
        </w:rPr>
        <w:t xml:space="preserve">투자동향/자금소요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감지: 1건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근거 예시. </w:t>
      </w:r>
      <w:r>
        <w:t xml:space="preserve">2026-07-09 과징금과 IP·바이오 투자 관련 기사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CEO 확인 포인트. </w:t>
      </w:r>
      <w:r>
        <w:t xml:space="preserve">과징금, 신사업 투자, IP·바이오 투자 계획이 동시에 존재하면 단기 현금 여력과 투자 우선순위를 재정렬해야 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연결 조언. </w:t>
      </w:r>
      <w:r>
        <w:t xml:space="preserve">DART E4 유동성 하락과 직접 연결됩니다. 투자 지출은 단기부채 만기, 배당, 원재료 가격 변동과 함께 13주 현금수지에 넣어 스트레스 테스트해야 합니다.</w:t>
      </w:r>
    </w:p>
    <w:p>
      <w:pPr>
        <w:spacing w:before="240" w:after="80"/>
      </w:pPr>
      <w:r>
        <w:rPr>
          <w:b/>
          <w:color w:val="1B2A4A"/>
          <w:sz w:val="22"/>
          <w:szCs w:val="22"/>
        </w:rPr>
        <w:t xml:space="preserve">사업동향/제휴/확장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감지: 5건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근거 예시. </w:t>
      </w:r>
      <w:r>
        <w:t xml:space="preserve">청정원 여름 시즌 브랜드 캠페인, 신제품 라인업 확대 기사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CEO 확인 포인트. </w:t>
      </w:r>
      <w:r>
        <w:t xml:space="preserve">캠페인과 신제품 출시가 매출 성장을 견인하는지, 기존 제품 수요를 대체하는지 구분해야 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연결 조언. </w:t>
      </w:r>
      <w:r>
        <w:t xml:space="preserve">제품 라인업 확대가 긍정적이라도 유동비율 하락 구간에서는 재고 부담과 판촉비 회수 기간을 같이 관리해야 합니다.</w:t>
      </w:r>
    </w:p>
    <w:p>
      <w:pPr>
        <w:spacing w:before="240" w:after="80"/>
      </w:pPr>
      <w:r>
        <w:rPr>
          <w:b/>
          <w:color w:val="1B2A4A"/>
          <w:sz w:val="22"/>
          <w:szCs w:val="22"/>
        </w:rPr>
        <w:t xml:space="preserve">재무동향/실적 압박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감지: 3건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근거 예시. </w:t>
      </w:r>
      <w:r>
        <w:t xml:space="preserve">2026-04-29 적자 전환과 담합 충격을 언급한 기사, 2026-07-09 과징금 관련 기사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CEO 확인 포인트. </w:t>
      </w:r>
      <w:r>
        <w:t xml:space="preserve">일회성 비용인지, 영업이익률과 현금흐름에 반복 부담을 주는 구조적 비용인지 구분해야 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  <w:color w:val="1B2A4A"/>
        </w:rPr>
        <w:t xml:space="preserve">연결 조언. </w:t>
      </w:r>
      <w:r>
        <w:t xml:space="preserve">OCF/영업이익은 1.11로 양호합니다. 따라서 손익 악화보다 단기 운전자본 지표 하락과 일회성 비용의 현금 유출 타이밍을 우선 점검하는 것이 적절합니다.</w:t>
      </w:r>
    </w:p>
    <w:p>
      <w:pPr>
        <w:pStyle w:val="Heading1"/>
      </w:pPr>
      <w:r>
        <w:rPr>
          <w:b/>
          <w:color w:val="1B2A4A"/>
        </w:rPr>
        <w:t xml:space="preserve">참고 관찰값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매출 성장률은 3.4%, 관련 채권 성장률은 -3.2%, OCF/영업이익은 1.11입니다.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재고 증가율은 7.4%, 매출 대비 괴리는 3.9%p입니다.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총 차입성 항목은 1.1조 -&gt; 1.0조, 증가율 -5.4%입니다.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최근 90일 공시는 7건, 정정은 1건입니다.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기업 식별: 대상 공식 사이트, DART 회사정보, 사업자등록번호 공개 조회에서 대상(주), 사업자등록번호 109-81-14886, 종목코드 001680을 확인했습니다.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식별 게이트: 로컬 company_identity_gate에서 사업자번호 체크섬과 국세청 상태조회가 통과했습니다.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진위확인 한계: 대표자명과 개업일자가 입력되지 않아 국세청 진위확인은 생략했고 상태조회만 수행했습니다.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내부 데이터: trial_balance.csv, ar_aging.csv, cost_allocation.csv가 제공되지 않아 내부 장부 기반 신호는 미평가입니다.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뉴스 데이터: 기사 제목·요약·링크·발행일만 사용했습니다. 기사 본문 전문, 원문 정정 여부, 사실관계 확정은 별도 확인이 필요합니다.</w:t>
      </w:r>
    </w:p>
    <w:p>
      <w:pPr>
        <w:pStyle w:val="Heading1"/>
      </w:pPr>
      <w:r>
        <w:rPr>
          <w:b/>
          <w:color w:val="1B2A4A"/>
        </w:rPr>
        <w:t xml:space="preserve">출처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로컬 산출물: outputs/daesang-ceo-pipeline/identity.json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로컬 산출물: outputs/daesang-ceo-pipeline/diagnostic-packet.json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대상 공식 사이트: https://www.daesang.com/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DART 회사정보: https://englishdart.fss.or.kr/dsbc001/selectPopup.ax?selectKey=00121941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사업자등록번호 공개 조회: https://bizno.net/article/1098114886</w:t>
      </w:r>
    </w:p>
    <w:p>
      <w:pPr>
        <w:spacing w:before="360" w:after="0"/>
        <w:jc w:val="center"/>
      </w:pPr>
      <w:r>
        <w:rPr>
          <w:i/>
          <w:color w:val="A6A6A6"/>
          <w:sz w:val="18"/>
          <w:szCs w:val="18"/>
        </w:rPr>
        <w:t xml:space="preserve">본 문서는 CEO 경영 판단 보조 자료이며 투자자문 또는 투자권유가 아닙니다.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본 문서는 CEO 경영 판단 보조 자료이며 투자자문·투자권유가 아닙니다 · Trusted CEO Agent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대상 CEO 리스크 브리핑</w:t>
    </w:r>
    <w:r>
      <w:rPr>
        <w:color w:val="A6A6A6"/>
        <w:sz w:val="16"/>
      </w:rPr>
      <w:tab/>
    </w:r>
    <w:r>
      <w:rPr>
        <w:b/>
        <w:color w:val="D04A02"/>
        <w:sz w:val="16"/>
      </w:rPr>
      <w:t>대외비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대상 CEO 리스크 브리핑</dc:title>
  <dc:creator>Trusted CEO Agent</dc:creator>
  <cp:lastModifiedBy>Trusted CEO Agent</cp:lastModifiedBy>
  <dcterms:created xsi:type="dcterms:W3CDTF">2026-07-10T00:00:00Z</dcterms:created>
  <dcterms:modified xsi:type="dcterms:W3CDTF">2026-07-10T00:00:00Z</dcterms:modified>
</cp:coreProperties>
</file>