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네이버(주) CEO 서명용 리스크 브리핑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2026-07-10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핵심 리스크 한눈에 보기</w:t>
      </w:r>
    </w:p>
    <w:tbl>
      <w:tblPr>
        <w:tblStyle w:val="TableGrid"/>
        <w:tblW w:w="907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7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구분</w:t>
            </w:r>
          </w:p>
        </w:tc>
        <w:tc>
          <w:tcPr>
            <w:tcW w:w="33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리스크</w:t>
            </w:r>
          </w:p>
        </w:tc>
        <w:tc>
          <w:tcPr>
            <w:tcW w:w="11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확신도</w:t>
            </w:r>
          </w:p>
        </w:tc>
        <w:tc>
          <w:tcPr>
            <w:tcW w:w="397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최우선 조치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D04A02"/>
                <w:sz w:val="19"/>
                <w:szCs w:val="19"/>
              </w:rPr>
              <w:t xml:space="preserve">R1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  <w:szCs w:val="19"/>
              </w:rPr>
              <w:t xml:space="preserve">공시 행간: 정정·해명 공시 반복 패턴 (E5)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1F7A33"/>
                <w:sz w:val="19"/>
                <w:szCs w:val="19"/>
              </w:rPr>
              <w:t xml:space="preserve">확인됨</w:t>
            </w:r>
          </w:p>
        </w:tc>
        <w:tc>
          <w:tcPr>
            <w:tcW w:w="3970" w:type="dxa"/>
            <w:vAlign w:val="center"/>
          </w:tcPr>
          <w:p>
            <w:pPr>
              <w:spacing w:before="60" w:after="60"/>
            </w:pPr>
            <w:r>
              <w:rPr>
                <w:sz w:val="19"/>
                <w:szCs w:val="19"/>
              </w:rPr>
              <w:t xml:space="preserve">공시 책임 임원에게 정정 3건의 사유 분류 보고를 요구하고, 수치 변경성 정정이 포함되어 있다면 검수 체인에 교차 확인 관문을 추가하십시오.</w:t>
            </w:r>
          </w:p>
        </w:tc>
      </w:tr>
    </w:tbl>
    <w:p>
      <w:pPr>
        <w:spacing w:before="80" w:after="240"/>
      </w:pPr>
      <w:r>
        <w:rPr>
          <w:color w:val="A6A6A6"/>
          <w:sz w:val="17"/>
          <w:szCs w:val="17"/>
        </w:rPr>
        <w:t xml:space="preserve">표의 확신도는 본문 각 리스크 절의 확신도 표기를 그대로 요약한 것입니다. 상세 근거 수치와 판별 테스트는 본문을 참조하십시오.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대상</w:t>
      </w:r>
      <w:r>
        <w:t xml:space="preserve">: 네이버(주) (종목코드 035420, 대표이사 최수연, 사업자등록번호 2208162517)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기준</w:t>
      </w:r>
      <w:r>
        <w:t xml:space="preserve">: 2025 사업연도 연결재무제표(CFS), 최근 90일 공시 창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거시 환경</w:t>
      </w:r>
      <w:r>
        <w:t xml:space="preserve">: 한국은행 기준금리 2.5% (2026-07-07 기준, 관측 구간 내 변동 없음) — 금리 환경 자체는 중립적입니다.</w:t>
      </w:r>
    </w:p>
    <w:p>
      <w:pPr>
        <w:pStyle w:val="Heading1"/>
      </w:pPr>
      <w:r>
        <w:rPr>
          <w:b/>
          <w:color w:val="1B2A4A"/>
        </w:rPr>
        <w:t xml:space="preserve">리스크 1 — 공시 행간: 정정·해명 공시 반복 패턴 (E5)</w:t>
      </w:r>
    </w:p>
    <w:p>
      <w:pPr>
        <w:jc w:val="both"/>
      </w:pPr>
      <w:r>
        <w:rPr>
          <w:b/>
          <w:color w:val="1B2A4A"/>
        </w:rPr>
        <w:t xml:space="preserve">결론. </w:t>
      </w:r>
    </w:p>
    <w:p>
      <w:pPr>
        <w:jc w:val="both"/>
      </w:pPr>
      <w:r>
        <w:t xml:space="preserve">최근 90일 공시 창에서 정정 공시와 풍문·보도 해명 공시가 반복적으로 관측되었습니다. 재무 수치의 이상 신호가 아니라, </w:t>
      </w:r>
      <w:r>
        <w:rPr>
          <w:b/>
        </w:rPr>
        <w:t xml:space="preserve">시장과의 커뮤니케이션 및 공시 품질 관리 프로세스</w:t>
      </w:r>
      <w:r>
        <w:t xml:space="preserve">에 점검이 필요하다는 신호입니다.</w:t>
      </w:r>
    </w:p>
    <w:p>
      <w:pPr>
        <w:jc w:val="both"/>
      </w:pPr>
      <w:r>
        <w:rPr>
          <w:b/>
        </w:rPr>
        <w:t xml:space="preserve">근거 (수치 + 출처: DART 공시 목록, 90일 창)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총 공시 43건 중 </w:t>
      </w:r>
      <w:r>
        <w:rPr>
          <w:b/>
        </w:rPr>
        <w:t xml:space="preserve">정정 공시 3건</w:t>
      </w:r>
      <w:r>
        <w:t xml:space="preserve"> (임계값 3건 이상 충족)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풍문 또는 보도에 대한 해명(미확정) 2건</w:t>
      </w:r>
      <w:r>
        <w:t xml:space="preserve"> — 2026-06-18, 2026-05-19 (임계값 1건 이상 충족)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감사 관련 플래그는 관측되지 않았습니다.</w:t>
      </w:r>
    </w:p>
    <w:p>
      <w:pPr>
        <w:jc w:val="both"/>
      </w:pPr>
      <w:r>
        <w:rPr>
          <w:b/>
        </w:rPr>
        <w:t xml:space="preserve">왜 문제인가 (인과 사슬)</w:t>
      </w:r>
    </w:p>
    <w:p>
      <w:pPr>
        <w:jc w:val="both"/>
      </w:pPr>
      <w:r>
        <w:t xml:space="preserve">정정 공시가 반복되면 최초 공시 시점의 내부 검수 체인이 수치·문구를 걸러내지 못하고 있을 가능성이 있고, 이는 시장이 회사의 공시를 "확정 정보"로 받아들이는 신뢰 비용을 갉아먹습니다. 여기에 미확정 해명 공시가 두 달 연속으로 이어졌다는 것은, 회사보다 언론 보도가 먼저 시장 기대를 형성하고 회사가 뒤따라 반응하는 구도가 만들어지고 있다는 뜻입니다. 이 구도가 굳어지면 향후 중요 의사결정(투자·제휴·구조 개편) 발표 때 회사의 공식 채널이 아니라 풍문이 가격과 여론을 먼저 움직이게 되고, IR·법무 대응 비용과 규제기관의 관심도 함께 커지는 경로로 이어질 수 있습니다.</w:t>
      </w:r>
    </w:p>
    <w:p>
      <w:pPr>
        <w:jc w:val="both"/>
      </w:pPr>
      <w:r>
        <w:rPr>
          <w:b/>
        </w:rPr>
        <w:t xml:space="preserve">보조 신호 (뉴스 메타데이터 — 확정 사실 아님)</w:t>
      </w:r>
    </w:p>
    <w:p>
      <w:pPr>
        <w:jc w:val="both"/>
      </w:pPr>
      <w:r>
        <w:t xml:space="preserve">같은 기간 뉴스 수집에서 규제/소송/보안/운영 리스크 테마 28건, 기업평판/브랜드 테마 29건이 감지되었습니다. 해명 공시의 대상이 된 보도 흐름과 겹치는지 교차 확인할 가치가 있습니다.</w:t>
      </w:r>
    </w:p>
    <w:p>
      <w:p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1F7A33"/>
        </w:rPr>
        <w:t xml:space="preserve">확인됨</w:t>
      </w:r>
      <w:r>
        <w:t xml:space="preserve"> (정정·해명 공시의 발생 패턴 자체는 공시 원문으로 확인된 사실입니다. 다만 그 원인이 검수 체계의 문제인지, 사업 특성상 불가피한 대응인지는 아래 판별 테스트로 갈라야 합니다.)</w:t>
      </w:r>
    </w:p>
    <w:p>
      <w:pPr>
        <w:jc w:val="both"/>
      </w:pPr>
      <w:r>
        <w:rPr>
          <w:b/>
          <w:color w:val="1B2A4A"/>
        </w:rPr>
        <w:t xml:space="preserve">판별 테스트. </w:t>
      </w:r>
    </w:p>
    <w:p>
      <w:pPr>
        <w:jc w:val="both"/>
      </w:pPr>
      <w:r>
        <w:t xml:space="preserve">1. 정정 3건의 사유를 분류하십시오 — 단순 오기·서식 정정이라면 검수 프로세스 문제, 수치·조건 변경이라면 최초 공시 시점의 정보 확정도 문제로 무게가 옮겨집니다.</w:t>
      </w:r>
    </w:p>
    <w:p>
      <w:pPr>
        <w:jc w:val="both"/>
      </w:pPr>
      <w:r>
        <w:t xml:space="preserve">2. 해명 공시 2건(6/18, 5/19)의 대상 보도를 특정하고, 이후 확정 공시로 이어졌는지 추적하십시오 — 확정 공시가 뒤따랐다면 "보도가 사실을 앞질렀던 것"이고, 없었다면 근거 없는 풍문 대응으로 종결 가능합니다.</w:t>
      </w:r>
    </w:p>
    <w:p>
      <w:pPr>
        <w:jc w:val="both"/>
      </w:pPr>
      <w:r>
        <w:t xml:space="preserve">3. 공시 초안 → 검수 → 제출 체인의 관문(재무·법무·IR 교차 확인) 통과 기록을 최근 정정 건에 대해 역추적하십시오.</w:t>
      </w:r>
    </w:p>
    <w:p>
      <w:pPr>
        <w:jc w:val="both"/>
      </w:pPr>
      <w:r>
        <w:rPr>
          <w:b/>
          <w:color w:val="1B2A4A"/>
        </w:rPr>
        <w:t xml:space="preserve">권고 조치. 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공시 책임 임원에게 정정 3건의 사유 분류 보고를 요구하고, 수치 변경성 정정이 포함되어 있다면 검수 체인에 교차 확인 관문을 추가하십시오.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해명 공시 2건의 대상 보도와 후속 경과를 IR로부터 보고받아, 미확정 상태로 남아 있는 사안이 있다면 확정·종결 시점 계획을 확인하십시오.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반복 보도의 출처가 특정 사업 영역에 몰려 있다면, 해당 영역의 정보 관리(내부 정보 접근 통제 포함)를 점검 대상에 올리십시오.</w:t>
      </w:r>
    </w:p>
    <w:p>
      <w:pPr>
        <w:pStyle w:val="Heading1"/>
      </w:pPr>
      <w:r>
        <w:rPr>
          <w:b/>
          <w:color w:val="1B2A4A"/>
        </w:rPr>
        <w:t xml:space="preserve">미발화 신호 (참고 — 리스크 아님)</w:t>
      </w:r>
    </w:p>
    <w:p>
      <w:pPr>
        <w:jc w:val="both"/>
      </w:pPr>
      <w:r>
        <w:t xml:space="preserve">수익-채권 괴리(E1), 재고 자산 적체(E2), 차입 확대·이자 부담(E3), 유동성 하락(E4)은 모두 </w:t>
      </w:r>
      <w:r>
        <w:rPr>
          <w:b/>
        </w:rPr>
        <w:t xml:space="preserve">임계값 미달로 미발화</w:t>
      </w:r>
      <w:r>
        <w:t xml:space="preserve">했습니다. 매출 성장 대비 채권·재고의 이상 증가는 관측되지 않았고, 차입은 오히려 축소 방향이며, 유동성 지표도 점검 기준을 벗어나지 않았습니다. 이번 진단 범위에서 재무 구조 측면의 경고 신호는 없습니다.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이 브리핑은 DART 공시 데이터(2025 연결 기준)와 ECOS 거시지표, 뉴스 메타데이터(제목·요약·발행일·링크)에서 결정론적으로 파생된 신호만을 근거로 합니다. 내부 CSV 데이터가 제공되지 않아 거래처 집중도, 원가 구조, 내부 장부-공시 대사 등 상세 축은 이번 진단에 포함되지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뉴스 신호는 검색 메타데이터 기반의 보조 신호로, 개별 기사 내용의 사실 여부를 검증한 것이 아닙니다.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E5는 공시 "패턴"의 관측이며, 그 원인(프로세스 결함인지, 외부 보도 환경 탓인지)에 대한 판단은 위 판별 테스트의 결과가 나오기 전까지 열려 있습니다. 본 브리핑의 어떤 항목도 회계 처리의 적정성에 대한 결론이 아니며, 확정 판단은 감사인·내부 감사 조직의 검증 절차를 거쳐야 합니다.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네이버(주) CEO 서명용 리스크 브리핑</dc:title>
  <dc:creator>Trusted CEO Agent</dc:creator>
  <cp:lastModifiedBy>Trusted CEO Agent</cp:lastModifiedBy>
  <dcterms:created xsi:type="dcterms:W3CDTF">2026-07-10T00:00:00Z</dcterms:created>
  <dcterms:modified xsi:type="dcterms:W3CDTF">2026-07-10T00:00:00Z</dcterms:modified>
</cp:coreProperties>
</file>