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(주)더블유에스아이</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차입 확대·이자 부담 (E3, 발화)</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[이번 주] 차입금 명세 보고 지시: CFO에게 만기별·금리유형별 차입 구성과 약정 조건 전체를 1페이지로 보고받으십시오. 판별 테스트 1~3이 여기서 한 번에 해소됩니다.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이윤석 대표이사</w:t>
      </w:r>
    </w:p>
    <w:p>
      <w:pPr>
        <w:pStyle w:val="ListParagraph"/>
        <w:numPr>
          <w:ilvl w:val="0"/>
          <w:numId w:val="1"/>
        </w:numPr>
        <w:jc w:val="both"/>
      </w:pPr>
      <w:r>
        <w:rPr>
          <w:b/>
        </w:rPr>
        <w:t xml:space="preserve">대상 기업</w:t>
      </w:r>
      <w:r>
        <w:t xml:space="preserve">: (주)더블유에스아이 (종목코드 299170, 사업자등록번호 236-81-01193)</w:t>
      </w:r>
    </w:p>
    <w:p>
      <w:pPr>
        <w:pStyle w:val="ListParagraph"/>
        <w:numPr>
          <w:ilvl w:val="0"/>
          <w:numId w:val="1"/>
        </w:numPr>
        <w:jc w:val="both"/>
      </w:pPr>
      <w:r>
        <w:rPr>
          <w:b/>
        </w:rPr>
        <w:t xml:space="preserve">분석 기준</w:t>
      </w:r>
      <w:r>
        <w:t xml:space="preserve">: 2025 사업연도 연결재무제표(CFS), DART 공시 + 한국은행 ECOS 거시지표</w:t>
      </w:r>
    </w:p>
    <w:p>
      <w:pPr>
        <w:pStyle w:val="ListParagraph"/>
        <w:numPr>
          <w:ilvl w:val="0"/>
          <w:numId w:val="1"/>
        </w:numPr>
        <w:jc w:val="both"/>
      </w:pPr>
      <w:r>
        <w:rPr>
          <w:b/>
        </w:rPr>
        <w:t xml:space="preserve">거시 환경</w:t>
      </w:r>
      <w:r>
        <w:t xml:space="preserve">: 한국은행 기준금리 2.5% (2026-07-12 기준, 분석 구간 내 변동 없음)</w:t>
      </w:r>
    </w:p>
    <w:p>
      <w:pPr>
        <w:pStyle w:val="Heading1"/>
      </w:pPr>
      <w:r>
        <w:rPr>
          <w:b/>
          <w:color w:val="1B2A4A"/>
        </w:rPr>
        <w:t xml:space="preserve">요약</w:t>
      </w:r>
    </w:p>
    <w:p>
      <w:pPr>
        <w:pBdr>
          <w:left w:val="single" w:sz="24" w:space="8" w:color="D04A02"/>
        </w:pBdr>
        <w:shd w:val="clear" w:color="auto" w:fill="FBF4EE"/>
        <w:spacing w:before="60" w:after="120" w:line="276" w:lineRule="auto"/>
        <w:ind w:left="284" w:right="284"/>
        <w:jc w:val="both"/>
      </w:pPr>
      <w:r>
        <w:t xml:space="preserve">외부 공시 기반 6개 진단 축 가운데 </w:t>
      </w:r>
      <w:r>
        <w:rPr>
          <w:b/>
        </w:rPr>
        <w:t xml:space="preserve">1개 신호(E3 — 차입 확대·이자 부담)가 발화</w:t>
      </w:r>
      <w:r>
        <w:t xml:space="preserve">했습니다. 매출 성장의 질(채권·재고·발생액)과 유동성, 공시 품질 축은 임계값 미달로 미발화 상태이며, 현재 확인된 리스크는 </w:t>
      </w:r>
      <w:r>
        <w:rPr>
          <w:b/>
        </w:rPr>
        <w:t xml:space="preserve">성장 재원을 차입에 의존하면서 이자 부담 흡수 여력이 절반 수준으로 줄어든 구조</w:t>
      </w:r>
      <w:r>
        <w:t xml:space="preserve">에 집중되어 있습니다.</w:t>
      </w:r>
    </w:p>
    <w:p>
      <w:pPr>
        <w:pStyle w:val="Heading1"/>
      </w:pPr>
      <w:r>
        <w:rPr>
          <w:b/>
          <w:color w:val="1B2A4A"/>
        </w:rPr>
        <w:t xml:space="preserve">리스크 1 — 차입 확대·이자 부담 (E3, 발화)</w:t>
      </w:r>
    </w:p>
    <w:p>
      <w:pPr>
        <w:jc w:val="both"/>
      </w:pPr>
      <w:r>
        <w:rPr>
          <w:b/>
          <w:color w:val="1B2A4A"/>
        </w:rPr>
        <w:t xml:space="preserve">결론. </w:t>
      </w:r>
    </w:p>
    <w:p>
      <w:pPr>
        <w:jc w:val="both"/>
      </w:pPr>
      <w:r>
        <w:t xml:space="preserve">차입금이 전년 대비 </w:t>
      </w:r>
      <w:r>
        <w:rPr>
          <w:b/>
        </w:rPr>
        <w:t xml:space="preserve">975% 증가</w:t>
      </w:r>
      <w:r>
        <w:t xml:space="preserve">하는 동안 이자보상배율(영업이익/이자지급)이 </w:t>
      </w:r>
      <w:r>
        <w:rPr>
          <w:b/>
        </w:rPr>
        <w:t xml:space="preserve">17.3배에서 8.4배로 51.4% 하락</w:t>
      </w:r>
      <w:r>
        <w:t xml:space="preserve">했습니다. 아직 상환 능력이 붕괴된 수준은 아니나, 외부 자금 의존이 급격히 커지는 국면에서 이익의 이자 흡수 여력이 1년 만에 절반으로 줄어든 것은 재무 구조의 방향성 자체가 바뀌었다는 신호입니다.</w:t>
      </w:r>
    </w:p>
    <w:p>
      <w:pPr>
        <w:jc w:val="both"/>
      </w:pPr>
      <w:r>
        <w:rPr>
          <w:b/>
        </w:rPr>
        <w:t xml:space="preserve">근거 (수치 + 출처)</w:t>
      </w:r>
    </w:p>
    <w:p>
      <w:pPr>
        <w:pStyle w:val="ListParagraph"/>
        <w:numPr>
          <w:ilvl w:val="0"/>
          <w:numId w:val="1"/>
        </w:numPr>
        <w:jc w:val="both"/>
      </w:pPr>
      <w:r>
        <w:t xml:space="preserve">차입금 증가율: </w:t>
      </w:r>
      <w:r>
        <w:rPr>
          <w:b/>
        </w:rPr>
        <w:t xml:space="preserve">+975%</w:t>
      </w:r>
      <w:r>
        <w:t xml:space="preserve"> (규모는 조 단위 미만 — 표시상 0→0조, 절대 금액은 재무제표 원문 확인 필요) — DART 2025년 연결재무제표</w:t>
      </w:r>
    </w:p>
    <w:p>
      <w:pPr>
        <w:pStyle w:val="ListParagraph"/>
        <w:numPr>
          <w:ilvl w:val="0"/>
          <w:numId w:val="1"/>
        </w:numPr>
        <w:jc w:val="both"/>
      </w:pPr>
      <w:r>
        <w:t xml:space="preserve">이자보상배율: </w:t>
      </w:r>
      <w:r>
        <w:rPr>
          <w:b/>
        </w:rPr>
        <w:t xml:space="preserve">17.3배 → 8.4배</w:t>
      </w:r>
      <w:r>
        <w:t xml:space="preserve"> (영업이익/이자지급 기준, </w:t>
      </w:r>
      <w:r>
        <w:rPr>
          <w:b/>
        </w:rPr>
        <w:t xml:space="preserve">51.4% 하락</w:t>
      </w:r>
      <w:r>
        <w:t xml:space="preserve">) — 동일 출처</w:t>
      </w:r>
    </w:p>
    <w:p>
      <w:pPr>
        <w:pStyle w:val="ListParagraph"/>
        <w:numPr>
          <w:ilvl w:val="0"/>
          <w:numId w:val="1"/>
        </w:numPr>
        <w:jc w:val="both"/>
      </w:pPr>
      <w:r>
        <w:t xml:space="preserve">거시 여건: 기준금리 2.5%로 분석 구간 내 변동 없음 — 한국은행 ECOS</w:t>
      </w:r>
    </w:p>
    <w:p>
      <w:pPr>
        <w:jc w:val="both"/>
      </w:pPr>
      <w:r>
        <w:rPr>
          <w:b/>
        </w:rPr>
        <w:t xml:space="preserve">왜 문제인가 (인과 사슬)</w:t>
      </w:r>
    </w:p>
    <w:p>
      <w:pPr>
        <w:jc w:val="both"/>
      </w:pPr>
      <w:r>
        <w:t xml:space="preserve">기준금리가 움직이지 않았는데도 이자 흡수 여력이 반토막 났다는 것은, 이 변화가 금리 환경이 아니라 </w:t>
      </w:r>
      <w:r>
        <w:rPr>
          <w:b/>
        </w:rPr>
        <w:t xml:space="preserve">회사 스스로의 차입 규모 확대에서 비롯</w:t>
      </w:r>
      <w:r>
        <w:t xml:space="preserve">되었다는 뜻입니다. 차입이 한 해에 10배 가까이 늘어나는 속도는 통상 대규모 설비투자·인수·운전자본 소요 중 하나를 의미하는데, 그 투자가 영업이익으로 회수되기 전까지 이자 비용은 확정 지출로 먼저 발생합니다. 이 상태에서 매출 성장이 둔화되거나 금리가 반등하면, 이익 감소와 이자 부담 증가가 동시에 커버리지를 압박하는 이중 노출이 됩니다. 특히 차입 약정에 커버리지 조건(covenant)이 걸려 있다면, 배율 하락 추세 자체가 조기 상환 트리거로 작동할 수 있습니다.</w:t>
      </w:r>
    </w:p>
    <w:p>
      <w:pPr>
        <w:jc w:val="both"/>
      </w:pPr>
      <w:r>
        <w:rPr>
          <w:b/>
          <w:color w:val="1B2A4A"/>
        </w:rPr>
        <w:t xml:space="preserve">확신도. </w:t>
      </w:r>
      <w:r>
        <w:rPr>
          <w:b/>
          <w:color w:val="1F7A33"/>
        </w:rPr>
        <w:t xml:space="preserve">확인됨</w:t>
      </w:r>
      <w:r>
        <w:t xml:space="preserve"> (공시 수치에서 결정론적으로 파생 — 다만 차입 확대의 "목적"에 대한 해석은 아래 판별 테스트로 검증 필요)</w:t>
      </w:r>
    </w:p>
    <w:p>
      <w:pPr>
        <w:jc w:val="both"/>
      </w:pPr>
      <w:r>
        <w:rPr>
          <w:b/>
        </w:rPr>
        <w:t xml:space="preserve">판별 테스트 (이 리스크가 실재하는지 가르는 확인 항목)</w:t>
      </w:r>
    </w:p>
    <w:p>
      <w:pPr>
        <w:jc w:val="both"/>
      </w:pPr>
      <w:r>
        <w:t xml:space="preserve">1. 재무제표 주석의 </w:t>
      </w:r>
      <w:r>
        <w:rPr>
          <w:b/>
        </w:rPr>
        <w:t xml:space="preserve">차입금 만기 구조</w:t>
      </w:r>
      <w:r>
        <w:t xml:space="preserve"> 확인 — 1년 내 만기 비중이 높으면 리파이낸싱 리스크가 즉시성 리스크로 격상됩니다.</w:t>
      </w:r>
    </w:p>
    <w:p>
      <w:pPr>
        <w:jc w:val="both"/>
      </w:pPr>
      <w:r>
        <w:t xml:space="preserve">2. </w:t>
      </w:r>
      <w:r>
        <w:rPr>
          <w:b/>
        </w:rPr>
        <w:t xml:space="preserve">변동/고정 금리 구성</w:t>
      </w:r>
      <w:r>
        <w:t xml:space="preserve"> 확인 — 변동금리 비중이 높을수록 금리 반등 시 커버리지 추가 하락 폭이 커집니다.</w:t>
      </w:r>
    </w:p>
    <w:p>
      <w:pPr>
        <w:jc w:val="both"/>
      </w:pPr>
      <w:r>
        <w:t xml:space="preserve">3. </w:t>
      </w:r>
      <w:r>
        <w:rPr>
          <w:b/>
        </w:rPr>
        <w:t xml:space="preserve">약정(covenant) 조건</w:t>
      </w:r>
      <w:r>
        <w:t xml:space="preserve"> 확인 — 이자보상배율·부채비율 유지 조건이 있는지, 현재 8.4배가 그 조건에서 얼마나 여유가 있는지.</w:t>
      </w:r>
    </w:p>
    <w:p>
      <w:pPr>
        <w:jc w:val="both"/>
      </w:pPr>
      <w:r>
        <w:t xml:space="preserve">4. 차입 대응 자산 확인 — 증가한 차입이 어떤 자산(설비·재고·투자)으로 전환되었고, 그 자산의 수익 기여 시점이 언제인지.</w:t>
      </w:r>
    </w:p>
    <w:p>
      <w:pPr>
        <w:jc w:val="both"/>
      </w:pPr>
      <w:r>
        <w:rPr>
          <w:b/>
          <w:color w:val="1B2A4A"/>
        </w:rPr>
        <w:t xml:space="preserve">권고 조치. </w:t>
      </w:r>
    </w:p>
    <w:p>
      <w:pPr>
        <w:pStyle w:val="ListParagraph"/>
        <w:numPr>
          <w:ilvl w:val="0"/>
          <w:numId w:val="1"/>
        </w:numPr>
        <w:jc w:val="both"/>
      </w:pPr>
      <w:r>
        <w:rPr>
          <w:b/>
        </w:rPr>
        <w:t xml:space="preserve">[이번 주] 차입금 명세 보고 지시</w:t>
      </w:r>
      <w:r>
        <w:t xml:space="preserve">: CFO에게 만기별·금리유형별 차입 구성과 약정 조건 전체를 1페이지로 보고받으십시오. 판별 테스트 1~3이 여기서 한 번에 해소됩니다.</w:t>
      </w:r>
    </w:p>
    <w:p>
      <w:pPr>
        <w:pStyle w:val="ListParagraph"/>
        <w:numPr>
          <w:ilvl w:val="0"/>
          <w:numId w:val="1"/>
        </w:numPr>
        <w:jc w:val="both"/>
      </w:pPr>
      <w:r>
        <w:rPr>
          <w:b/>
        </w:rPr>
        <w:t xml:space="preserve">[이번 달] 차입 목적-회수 계획 대조</w:t>
      </w:r>
      <w:r>
        <w:t xml:space="preserve">: 975% 증가분의 사용처와 각 건의 이익 회수 예상 시점을 이사회 안건으로 문서화하십시오. "성장 투자"라는 설명이 수치로 뒷받침되는지가 이 리스크의 실체를 가릅니다.</w:t>
      </w:r>
    </w:p>
    <w:p>
      <w:pPr>
        <w:pStyle w:val="ListParagraph"/>
        <w:numPr>
          <w:ilvl w:val="0"/>
          <w:numId w:val="1"/>
        </w:numPr>
        <w:jc w:val="both"/>
      </w:pPr>
      <w:r>
        <w:rPr>
          <w:b/>
        </w:rPr>
        <w:t xml:space="preserve">[분기 내] 커버리지 하한 내부 기준 설정</w:t>
      </w:r>
      <w:r>
        <w:t xml:space="preserve">: 이자보상배율이 추가 하락할 경우(예: 5배 미만) 신규 차입을 중단하고 자본 조달 대안을 검토하는 내부 트리거를 미리 정해 두십시오.</w:t>
      </w:r>
    </w:p>
    <w:p>
      <w:pPr>
        <w:pStyle w:val="Heading1"/>
      </w:pPr>
      <w:r>
        <w:rPr>
          <w:b/>
          <w:color w:val="1B2A4A"/>
        </w:rPr>
        <w:t xml:space="preserve">미발화 신호 (참고 — 리스크 아님)</w:t>
      </w:r>
    </w:p>
    <w:p>
      <w:pPr>
        <w:pStyle w:val="ListParagraph"/>
        <w:numPr>
          <w:ilvl w:val="0"/>
          <w:numId w:val="1"/>
        </w:numPr>
        <w:jc w:val="both"/>
      </w:pPr>
      <w:r>
        <w:rPr>
          <w:b/>
        </w:rPr>
        <w:t xml:space="preserve">수익-채권 괴리(E1)·재고 적체(E2)·발생액 품질(E8)</w:t>
      </w:r>
      <w:r>
        <w:t xml:space="preserve">: 매출 성장 대비 채권·재고·발생액 지표가 임계값 미달로 미발화 — 현재 공시 수치상 성장의 질에 대한 기계적 경고는 없습니다.</w:t>
      </w:r>
    </w:p>
    <w:p>
      <w:pPr>
        <w:pStyle w:val="ListParagraph"/>
        <w:numPr>
          <w:ilvl w:val="0"/>
          <w:numId w:val="1"/>
        </w:numPr>
        <w:jc w:val="both"/>
      </w:pPr>
      <w:r>
        <w:rPr>
          <w:b/>
        </w:rPr>
        <w:t xml:space="preserve">유동성(E4)</w:t>
      </w:r>
      <w:r>
        <w:t xml:space="preserve">: 유동비율이 임계값 조건(2년 연속 하락 등)에 해당하지 않아 미발화. 다만 최근 연도 간 변동 폭이 커 보이는 만큼, 리스크 1의 차입 만기 구조 확인 시 단기 상환 스케줄을 함께 보시길 권합니다.</w:t>
      </w:r>
    </w:p>
    <w:p>
      <w:pPr>
        <w:pStyle w:val="ListParagraph"/>
        <w:numPr>
          <w:ilvl w:val="0"/>
          <w:numId w:val="1"/>
        </w:numPr>
        <w:jc w:val="both"/>
      </w:pPr>
      <w:r>
        <w:rPr>
          <w:b/>
        </w:rPr>
        <w:t xml:space="preserve">공시 행간(E5)</w:t>
      </w:r>
      <w:r>
        <w:t xml:space="preserve">: 최근 90일 공시에서 정정·해명 패턴이 임계값 미달로 미발화.</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연결)와 한국은행 거시지표에서 </w:t>
      </w:r>
      <w:r>
        <w:rPr>
          <w:b/>
        </w:rPr>
        <w:t xml:space="preserve">결정론적으로 파생된 신호</w:t>
      </w:r>
      <w:r>
        <w:t xml:space="preserve">만을 근거로 하며, 내부 원장·거래처별 데이터(내부 CSV)는 제공되지 않아 거래처 집중·원가 왜곡 등 상세 축은 진단 범위 밖입니다.</w:t>
      </w:r>
    </w:p>
    <w:p>
      <w:pPr>
        <w:pStyle w:val="ListParagraph"/>
        <w:numPr>
          <w:ilvl w:val="0"/>
          <w:numId w:val="1"/>
        </w:numPr>
        <w:jc w:val="both"/>
      </w:pPr>
      <w:r>
        <w:t xml:space="preserve">뉴스·평판 축과 시장(주가·시가총액) 축은 이번 진단에서 실행되지 않았습니다.</w:t>
      </w:r>
    </w:p>
    <w:p>
      <w:pPr>
        <w:pStyle w:val="ListParagraph"/>
        <w:numPr>
          <w:ilvl w:val="0"/>
          <w:numId w:val="1"/>
        </w:numPr>
        <w:jc w:val="both"/>
      </w:pPr>
      <w:r>
        <w:t xml:space="preserve">차입금의 절대 규모는 조 단위 표시상 반올림(0조)으로 축약되어 있어, </w:t>
      </w:r>
      <w:r>
        <w:rPr>
          <w:b/>
        </w:rPr>
        <w:t xml:space="preserve">증가율(975%)의 실질적 무게는 원문 금액 확인 후 판단</w:t>
      </w:r>
      <w:r>
        <w:t xml:space="preserve">해야 합니다. 소규모 기저에서 출발한 증가율은 비율만으로 과대 해석될 수 있습니다.</w:t>
      </w:r>
    </w:p>
    <w:p>
      <w:pPr>
        <w:pStyle w:val="ListParagraph"/>
        <w:numPr>
          <w:ilvl w:val="0"/>
          <w:numId w:val="1"/>
        </w:numPr>
        <w:jc w:val="both"/>
      </w:pPr>
      <w:r>
        <w:t xml:space="preserve">E3 발화는 "차입 구조가 위험하다"는 판정이 아니라 </w:t>
      </w:r>
      <w:r>
        <w:rPr>
          <w:b/>
        </w:rPr>
        <w:t xml:space="preserve">"이자 부담 흡수 여력의 변화 속도가 점검 기준을 넘었다"</w:t>
      </w:r>
      <w:r>
        <w:t xml:space="preserve">는 신호입니다. 실제 위험 여부는 위 판별 테스트(만기·금리·약정·투자 회수 계획)의 결과에 따라 달라질 수 있으며, 반대 증거가 확인되면 본 평가는 수정되어야 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(주)더블유에스아이</dc:title>
  <dc:creator>Trusted CEO Agent</dc:creator>
  <cp:lastModifiedBy>Trusted CEO Agent</cp:lastModifiedBy>
  <dcterms:created xsi:type="dcterms:W3CDTF">2026-07-14T00:00:00Z</dcterms:created>
  <dcterms:modified xsi:type="dcterms:W3CDTF">2026-07-14T00:00:00Z</dcterms:modified>
</cp:coreProperties>
</file>